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F266" w14:textId="77777777" w:rsidR="007318AE" w:rsidRDefault="006D5EEA">
      <w:pPr>
        <w:spacing w:after="0" w:line="259" w:lineRule="auto"/>
        <w:ind w:left="2710" w:firstLine="0"/>
      </w:pPr>
      <w:r>
        <w:rPr>
          <w:noProof/>
        </w:rPr>
        <w:drawing>
          <wp:inline distT="0" distB="0" distL="0" distR="0" wp14:anchorId="02A05E30" wp14:editId="5D4A1121">
            <wp:extent cx="2750185" cy="102171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8"/>
                    <a:stretch>
                      <a:fillRect/>
                    </a:stretch>
                  </pic:blipFill>
                  <pic:spPr>
                    <a:xfrm>
                      <a:off x="0" y="0"/>
                      <a:ext cx="2750185" cy="1021715"/>
                    </a:xfrm>
                    <a:prstGeom prst="rect">
                      <a:avLst/>
                    </a:prstGeom>
                  </pic:spPr>
                </pic:pic>
              </a:graphicData>
            </a:graphic>
          </wp:inline>
        </w:drawing>
      </w:r>
    </w:p>
    <w:p w14:paraId="006A1D75" w14:textId="77777777" w:rsidR="007318AE" w:rsidRDefault="006D5EEA">
      <w:pPr>
        <w:spacing w:after="0" w:line="259" w:lineRule="auto"/>
        <w:ind w:left="1265" w:right="2708" w:firstLine="0"/>
      </w:pPr>
      <w:r>
        <w:rPr>
          <w:b/>
          <w:sz w:val="44"/>
        </w:rPr>
        <w:t xml:space="preserve"> </w:t>
      </w:r>
    </w:p>
    <w:p w14:paraId="585BEB22" w14:textId="77777777" w:rsidR="00702A74" w:rsidRDefault="00702A74">
      <w:pPr>
        <w:spacing w:after="0" w:line="259" w:lineRule="auto"/>
        <w:ind w:left="113" w:firstLine="0"/>
        <w:jc w:val="center"/>
        <w:rPr>
          <w:b/>
          <w:sz w:val="40"/>
        </w:rPr>
      </w:pPr>
    </w:p>
    <w:p w14:paraId="01F8C249" w14:textId="38A9778B" w:rsidR="007318AE" w:rsidRDefault="006D5EEA">
      <w:pPr>
        <w:spacing w:after="0" w:line="259" w:lineRule="auto"/>
        <w:ind w:left="113" w:firstLine="0"/>
        <w:jc w:val="center"/>
      </w:pPr>
      <w:r>
        <w:rPr>
          <w:b/>
          <w:sz w:val="40"/>
        </w:rPr>
        <w:t xml:space="preserve"> </w:t>
      </w:r>
    </w:p>
    <w:p w14:paraId="4EB75091" w14:textId="77777777" w:rsidR="00383868" w:rsidRDefault="00213726">
      <w:pPr>
        <w:spacing w:after="0" w:line="259" w:lineRule="auto"/>
        <w:ind w:left="16"/>
        <w:jc w:val="center"/>
        <w:rPr>
          <w:b/>
          <w:sz w:val="40"/>
        </w:rPr>
      </w:pPr>
      <w:r>
        <w:rPr>
          <w:b/>
          <w:sz w:val="40"/>
        </w:rPr>
        <w:t xml:space="preserve">UK Shared and </w:t>
      </w:r>
      <w:r w:rsidR="006D5EEA">
        <w:rPr>
          <w:b/>
          <w:sz w:val="40"/>
        </w:rPr>
        <w:t xml:space="preserve">Rural </w:t>
      </w:r>
      <w:r>
        <w:rPr>
          <w:b/>
          <w:sz w:val="40"/>
        </w:rPr>
        <w:t xml:space="preserve">England Prosperity Fund </w:t>
      </w:r>
    </w:p>
    <w:p w14:paraId="6FB40A72" w14:textId="77777777" w:rsidR="00383868" w:rsidRDefault="00383868">
      <w:pPr>
        <w:spacing w:after="0" w:line="259" w:lineRule="auto"/>
        <w:ind w:left="16"/>
        <w:jc w:val="center"/>
        <w:rPr>
          <w:b/>
          <w:sz w:val="40"/>
        </w:rPr>
      </w:pPr>
    </w:p>
    <w:p w14:paraId="3F422783" w14:textId="699AB8E5" w:rsidR="007318AE" w:rsidRDefault="00213726">
      <w:pPr>
        <w:spacing w:after="0" w:line="259" w:lineRule="auto"/>
        <w:ind w:left="16"/>
        <w:jc w:val="center"/>
      </w:pPr>
      <w:r>
        <w:rPr>
          <w:b/>
          <w:sz w:val="40"/>
        </w:rPr>
        <w:t xml:space="preserve">Newark and Sherwood </w:t>
      </w:r>
    </w:p>
    <w:p w14:paraId="67F2AC62" w14:textId="4EF2787F" w:rsidR="007318AE" w:rsidRDefault="006D5EEA">
      <w:pPr>
        <w:spacing w:after="0" w:line="259" w:lineRule="auto"/>
        <w:ind w:left="0" w:firstLine="0"/>
        <w:rPr>
          <w:b/>
          <w:sz w:val="40"/>
        </w:rPr>
      </w:pPr>
      <w:r>
        <w:rPr>
          <w:b/>
          <w:sz w:val="40"/>
        </w:rPr>
        <w:t xml:space="preserve"> </w:t>
      </w:r>
    </w:p>
    <w:p w14:paraId="47057D6C" w14:textId="77777777" w:rsidR="00702A74" w:rsidRDefault="00702A74">
      <w:pPr>
        <w:spacing w:after="0" w:line="259" w:lineRule="auto"/>
        <w:ind w:left="0" w:firstLine="0"/>
      </w:pPr>
    </w:p>
    <w:p w14:paraId="25B74930" w14:textId="72A88F16" w:rsidR="007318AE" w:rsidRDefault="00F125F5" w:rsidP="00213726">
      <w:pPr>
        <w:spacing w:after="0" w:line="259" w:lineRule="auto"/>
        <w:jc w:val="center"/>
        <w:rPr>
          <w:b/>
          <w:sz w:val="40"/>
        </w:rPr>
      </w:pPr>
      <w:r>
        <w:rPr>
          <w:b/>
          <w:sz w:val="40"/>
        </w:rPr>
        <w:t xml:space="preserve">Call for Projects </w:t>
      </w:r>
      <w:r w:rsidR="006D5EEA">
        <w:rPr>
          <w:b/>
          <w:sz w:val="40"/>
        </w:rPr>
        <w:t>Guidance</w:t>
      </w:r>
      <w:r w:rsidR="00C62C0C">
        <w:rPr>
          <w:b/>
          <w:sz w:val="40"/>
        </w:rPr>
        <w:t xml:space="preserve"> </w:t>
      </w:r>
    </w:p>
    <w:p w14:paraId="47863AC6" w14:textId="77777777" w:rsidR="00C62C0C" w:rsidRDefault="00C62C0C" w:rsidP="00213726">
      <w:pPr>
        <w:spacing w:after="0" w:line="259" w:lineRule="auto"/>
        <w:jc w:val="center"/>
      </w:pPr>
    </w:p>
    <w:p w14:paraId="037F8C62" w14:textId="4C0487A2" w:rsidR="007318AE" w:rsidRDefault="006D5EEA" w:rsidP="00213726">
      <w:pPr>
        <w:spacing w:after="0" w:line="259" w:lineRule="auto"/>
        <w:ind w:left="16" w:right="2"/>
        <w:jc w:val="center"/>
      </w:pPr>
      <w:r>
        <w:rPr>
          <w:b/>
          <w:sz w:val="40"/>
        </w:rPr>
        <w:t>(2</w:t>
      </w:r>
      <w:r w:rsidR="00213726">
        <w:rPr>
          <w:b/>
          <w:sz w:val="40"/>
        </w:rPr>
        <w:t>4-25</w:t>
      </w:r>
      <w:r>
        <w:rPr>
          <w:b/>
          <w:sz w:val="40"/>
        </w:rPr>
        <w:t>)</w:t>
      </w:r>
    </w:p>
    <w:p w14:paraId="4F394C30" w14:textId="77777777" w:rsidR="007318AE" w:rsidRDefault="006D5EEA">
      <w:pPr>
        <w:spacing w:after="0" w:line="259" w:lineRule="auto"/>
        <w:ind w:left="113" w:firstLine="0"/>
        <w:jc w:val="center"/>
      </w:pPr>
      <w:r>
        <w:rPr>
          <w:b/>
          <w:sz w:val="40"/>
        </w:rPr>
        <w:t xml:space="preserve"> </w:t>
      </w:r>
    </w:p>
    <w:p w14:paraId="642CBD4E" w14:textId="77777777" w:rsidR="007318AE" w:rsidRDefault="006D5EEA">
      <w:pPr>
        <w:spacing w:after="0" w:line="259" w:lineRule="auto"/>
        <w:ind w:left="113" w:firstLine="0"/>
        <w:jc w:val="center"/>
      </w:pPr>
      <w:r>
        <w:rPr>
          <w:b/>
          <w:sz w:val="40"/>
        </w:rPr>
        <w:t xml:space="preserve"> </w:t>
      </w:r>
    </w:p>
    <w:p w14:paraId="23673A72" w14:textId="77777777" w:rsidR="007318AE" w:rsidRDefault="006D5EEA">
      <w:pPr>
        <w:spacing w:after="0" w:line="259" w:lineRule="auto"/>
        <w:ind w:left="113" w:firstLine="0"/>
        <w:jc w:val="center"/>
      </w:pPr>
      <w:r>
        <w:rPr>
          <w:b/>
          <w:sz w:val="40"/>
        </w:rPr>
        <w:t xml:space="preserve"> </w:t>
      </w:r>
    </w:p>
    <w:p w14:paraId="4A39EA79" w14:textId="77777777" w:rsidR="007318AE" w:rsidRDefault="006D5EEA">
      <w:pPr>
        <w:spacing w:after="0" w:line="259" w:lineRule="auto"/>
        <w:ind w:left="113" w:firstLine="0"/>
        <w:jc w:val="center"/>
      </w:pPr>
      <w:r>
        <w:rPr>
          <w:b/>
          <w:sz w:val="40"/>
        </w:rPr>
        <w:t xml:space="preserve"> </w:t>
      </w:r>
    </w:p>
    <w:p w14:paraId="2AE5139A" w14:textId="77777777" w:rsidR="007318AE" w:rsidRDefault="006D5EEA">
      <w:pPr>
        <w:spacing w:after="0" w:line="259" w:lineRule="auto"/>
        <w:ind w:left="113" w:firstLine="0"/>
        <w:jc w:val="center"/>
      </w:pPr>
      <w:r>
        <w:rPr>
          <w:b/>
          <w:sz w:val="40"/>
        </w:rPr>
        <w:t xml:space="preserve"> </w:t>
      </w:r>
    </w:p>
    <w:p w14:paraId="312DC726" w14:textId="77777777" w:rsidR="007318AE" w:rsidRDefault="006D5EEA">
      <w:pPr>
        <w:spacing w:after="0" w:line="259" w:lineRule="auto"/>
        <w:ind w:left="113" w:firstLine="0"/>
        <w:jc w:val="center"/>
      </w:pPr>
      <w:r>
        <w:rPr>
          <w:b/>
          <w:sz w:val="40"/>
        </w:rPr>
        <w:t xml:space="preserve"> </w:t>
      </w:r>
    </w:p>
    <w:p w14:paraId="443DCC3B" w14:textId="77777777" w:rsidR="007318AE" w:rsidRDefault="006D5EEA">
      <w:pPr>
        <w:spacing w:after="0" w:line="259" w:lineRule="auto"/>
        <w:ind w:left="113" w:firstLine="0"/>
        <w:jc w:val="center"/>
      </w:pPr>
      <w:r>
        <w:rPr>
          <w:b/>
          <w:sz w:val="40"/>
        </w:rPr>
        <w:t xml:space="preserve"> </w:t>
      </w:r>
    </w:p>
    <w:p w14:paraId="3FB7B8E4" w14:textId="1A3AEC52" w:rsidR="007318AE" w:rsidRDefault="006D5EEA" w:rsidP="00213726">
      <w:pPr>
        <w:spacing w:after="0" w:line="259" w:lineRule="auto"/>
        <w:ind w:left="113" w:firstLine="0"/>
        <w:jc w:val="center"/>
      </w:pPr>
      <w:r>
        <w:rPr>
          <w:b/>
          <w:sz w:val="40"/>
        </w:rPr>
        <w:t xml:space="preserve"> </w:t>
      </w:r>
    </w:p>
    <w:p w14:paraId="063CCFC9" w14:textId="77777777" w:rsidR="007318AE" w:rsidRDefault="006D5EEA">
      <w:pPr>
        <w:spacing w:after="10" w:line="259" w:lineRule="auto"/>
        <w:ind w:left="796" w:firstLine="0"/>
      </w:pPr>
      <w:r>
        <w:rPr>
          <w:noProof/>
        </w:rPr>
        <w:drawing>
          <wp:inline distT="0" distB="0" distL="0" distR="0" wp14:anchorId="7D8019F2" wp14:editId="36704C88">
            <wp:extent cx="4976495" cy="96139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4976495" cy="961390"/>
                    </a:xfrm>
                    <a:prstGeom prst="rect">
                      <a:avLst/>
                    </a:prstGeom>
                  </pic:spPr>
                </pic:pic>
              </a:graphicData>
            </a:graphic>
          </wp:inline>
        </w:drawing>
      </w:r>
    </w:p>
    <w:p w14:paraId="65FBF409" w14:textId="77777777" w:rsidR="007318AE" w:rsidRDefault="006D5EEA">
      <w:pPr>
        <w:spacing w:after="0" w:line="259" w:lineRule="auto"/>
        <w:ind w:left="0" w:firstLine="0"/>
      </w:pPr>
      <w:r>
        <w:rPr>
          <w:b/>
          <w:sz w:val="40"/>
        </w:rPr>
        <w:t xml:space="preserve"> </w:t>
      </w:r>
    </w:p>
    <w:p w14:paraId="0DCDE8F2" w14:textId="77777777" w:rsidR="007318AE" w:rsidRDefault="006D5EEA">
      <w:pPr>
        <w:spacing w:after="0" w:line="259" w:lineRule="auto"/>
        <w:ind w:left="0" w:firstLine="0"/>
      </w:pPr>
      <w:r>
        <w:rPr>
          <w:b/>
          <w:sz w:val="40"/>
        </w:rPr>
        <w:t xml:space="preserve"> </w:t>
      </w:r>
    </w:p>
    <w:p w14:paraId="2F6E4011" w14:textId="77777777" w:rsidR="007318AE" w:rsidRDefault="006D5EEA">
      <w:pPr>
        <w:spacing w:after="0" w:line="259" w:lineRule="auto"/>
        <w:ind w:left="0" w:firstLine="0"/>
      </w:pPr>
      <w:r>
        <w:rPr>
          <w:rFonts w:ascii="Calibri" w:eastAsia="Calibri" w:hAnsi="Calibri" w:cs="Calibri"/>
          <w:b/>
          <w:sz w:val="24"/>
        </w:rPr>
        <w:t xml:space="preserve"> </w:t>
      </w:r>
    </w:p>
    <w:p w14:paraId="339C8FD6" w14:textId="77777777" w:rsidR="007318AE" w:rsidRDefault="006D5EEA">
      <w:pPr>
        <w:spacing w:after="0" w:line="259" w:lineRule="auto"/>
        <w:ind w:left="0" w:firstLine="0"/>
      </w:pPr>
      <w:r>
        <w:rPr>
          <w:rFonts w:ascii="Calibri" w:eastAsia="Calibri" w:hAnsi="Calibri" w:cs="Calibri"/>
          <w:b/>
          <w:sz w:val="24"/>
        </w:rPr>
        <w:t xml:space="preserve"> </w:t>
      </w:r>
    </w:p>
    <w:p w14:paraId="1846DF68" w14:textId="48B7E9FE" w:rsidR="007318AE" w:rsidRDefault="006D5EEA">
      <w:pPr>
        <w:spacing w:after="0" w:line="259" w:lineRule="auto"/>
        <w:ind w:left="0" w:firstLine="0"/>
        <w:rPr>
          <w:rFonts w:ascii="Calibri" w:eastAsia="Calibri" w:hAnsi="Calibri" w:cs="Calibri"/>
          <w:b/>
          <w:sz w:val="24"/>
        </w:rPr>
      </w:pPr>
      <w:r>
        <w:rPr>
          <w:rFonts w:ascii="Calibri" w:eastAsia="Calibri" w:hAnsi="Calibri" w:cs="Calibri"/>
          <w:b/>
          <w:sz w:val="24"/>
        </w:rPr>
        <w:t xml:space="preserve"> </w:t>
      </w:r>
    </w:p>
    <w:p w14:paraId="52987F14" w14:textId="3F4FF8E2" w:rsidR="00213726" w:rsidRDefault="00213726">
      <w:pPr>
        <w:spacing w:after="0" w:line="259" w:lineRule="auto"/>
        <w:ind w:left="0" w:firstLine="0"/>
        <w:rPr>
          <w:rFonts w:ascii="Calibri" w:eastAsia="Calibri" w:hAnsi="Calibri" w:cs="Calibri"/>
          <w:b/>
          <w:sz w:val="24"/>
        </w:rPr>
      </w:pPr>
    </w:p>
    <w:p w14:paraId="7A0BCF0A" w14:textId="3212A3C7" w:rsidR="00213726" w:rsidRDefault="00213726">
      <w:pPr>
        <w:spacing w:after="0" w:line="259" w:lineRule="auto"/>
        <w:ind w:left="0" w:firstLine="0"/>
        <w:rPr>
          <w:rFonts w:ascii="Calibri" w:eastAsia="Calibri" w:hAnsi="Calibri" w:cs="Calibri"/>
          <w:b/>
          <w:sz w:val="24"/>
        </w:rPr>
      </w:pPr>
    </w:p>
    <w:p w14:paraId="1021C790" w14:textId="7AF1909D" w:rsidR="00213726" w:rsidRDefault="00213726">
      <w:pPr>
        <w:spacing w:after="0" w:line="259" w:lineRule="auto"/>
        <w:ind w:left="0" w:firstLine="0"/>
        <w:rPr>
          <w:rFonts w:ascii="Calibri" w:eastAsia="Calibri" w:hAnsi="Calibri" w:cs="Calibri"/>
          <w:b/>
          <w:sz w:val="24"/>
        </w:rPr>
      </w:pPr>
    </w:p>
    <w:p w14:paraId="2045C4CF" w14:textId="2F9BF0B9" w:rsidR="00213726" w:rsidRDefault="00213726">
      <w:pPr>
        <w:spacing w:after="0" w:line="259" w:lineRule="auto"/>
        <w:ind w:left="0" w:firstLine="0"/>
        <w:rPr>
          <w:rFonts w:ascii="Calibri" w:eastAsia="Calibri" w:hAnsi="Calibri" w:cs="Calibri"/>
          <w:b/>
          <w:sz w:val="24"/>
        </w:rPr>
      </w:pPr>
    </w:p>
    <w:p w14:paraId="0C6EB38A" w14:textId="0DEA6FCE" w:rsidR="00213726" w:rsidRDefault="00213726">
      <w:pPr>
        <w:spacing w:after="0" w:line="259" w:lineRule="auto"/>
        <w:ind w:left="0" w:firstLine="0"/>
        <w:rPr>
          <w:rFonts w:ascii="Calibri" w:eastAsia="Calibri" w:hAnsi="Calibri" w:cs="Calibri"/>
          <w:b/>
          <w:sz w:val="24"/>
        </w:rPr>
      </w:pPr>
    </w:p>
    <w:p w14:paraId="75CFEDED" w14:textId="44E790DD" w:rsidR="00213726" w:rsidRDefault="00213726">
      <w:pPr>
        <w:spacing w:after="0" w:line="259" w:lineRule="auto"/>
        <w:ind w:left="0" w:firstLine="0"/>
        <w:rPr>
          <w:rFonts w:ascii="Calibri" w:eastAsia="Calibri" w:hAnsi="Calibri" w:cs="Calibri"/>
          <w:b/>
          <w:sz w:val="24"/>
        </w:rPr>
      </w:pPr>
    </w:p>
    <w:p w14:paraId="02AD3A31" w14:textId="4A9E1D5A" w:rsidR="00213726" w:rsidRDefault="00213726">
      <w:pPr>
        <w:spacing w:after="0" w:line="259" w:lineRule="auto"/>
        <w:ind w:left="0" w:firstLine="0"/>
        <w:rPr>
          <w:rFonts w:ascii="Calibri" w:eastAsia="Calibri" w:hAnsi="Calibri" w:cs="Calibri"/>
          <w:b/>
          <w:sz w:val="24"/>
        </w:rPr>
      </w:pPr>
    </w:p>
    <w:p w14:paraId="257EAAE2" w14:textId="77777777" w:rsidR="00213726" w:rsidRDefault="00213726">
      <w:pPr>
        <w:spacing w:after="0" w:line="259" w:lineRule="auto"/>
        <w:ind w:left="0" w:firstLine="0"/>
        <w:rPr>
          <w:rFonts w:ascii="Calibri" w:eastAsia="Calibri" w:hAnsi="Calibri" w:cs="Calibri"/>
          <w:b/>
          <w:sz w:val="24"/>
        </w:rPr>
      </w:pPr>
    </w:p>
    <w:p w14:paraId="51B68A54" w14:textId="77777777" w:rsidR="00137016" w:rsidRDefault="00137016">
      <w:pPr>
        <w:spacing w:after="0" w:line="259" w:lineRule="auto"/>
        <w:ind w:left="0" w:firstLine="0"/>
      </w:pPr>
    </w:p>
    <w:p w14:paraId="71F56A60" w14:textId="77777777" w:rsidR="007318AE" w:rsidRDefault="006D5EEA">
      <w:pPr>
        <w:spacing w:after="0" w:line="259" w:lineRule="auto"/>
        <w:ind w:left="-5"/>
      </w:pPr>
      <w:r w:rsidRPr="009F1730">
        <w:rPr>
          <w:b/>
        </w:rPr>
        <w:t>1.0</w:t>
      </w:r>
      <w:r>
        <w:rPr>
          <w:b/>
        </w:rPr>
        <w:t xml:space="preserve"> </w:t>
      </w:r>
      <w:r>
        <w:rPr>
          <w:b/>
          <w:u w:val="single" w:color="000000"/>
        </w:rPr>
        <w:t>Background</w:t>
      </w:r>
      <w:r>
        <w:rPr>
          <w:b/>
        </w:rPr>
        <w:t xml:space="preserve">  </w:t>
      </w:r>
    </w:p>
    <w:p w14:paraId="6EFEDDA8" w14:textId="77777777" w:rsidR="007318AE" w:rsidRDefault="006D5EEA">
      <w:pPr>
        <w:spacing w:after="0" w:line="259" w:lineRule="auto"/>
        <w:ind w:left="0" w:firstLine="0"/>
      </w:pPr>
      <w:r>
        <w:rPr>
          <w:b/>
        </w:rPr>
        <w:t xml:space="preserve"> </w:t>
      </w:r>
    </w:p>
    <w:p w14:paraId="142F0511" w14:textId="7E5A0064" w:rsidR="000D6F09" w:rsidRDefault="000D6F09" w:rsidP="000D6F09">
      <w:pPr>
        <w:pStyle w:val="ListParagraph"/>
        <w:numPr>
          <w:ilvl w:val="1"/>
          <w:numId w:val="24"/>
        </w:numPr>
      </w:pPr>
      <w:r>
        <w:t>UK Shared Prosperity Fund (</w:t>
      </w:r>
      <w:r w:rsidR="00953E35" w:rsidRPr="000D6F09">
        <w:t>UKSPF</w:t>
      </w:r>
      <w:r>
        <w:t>)</w:t>
      </w:r>
      <w:r w:rsidR="00953E35" w:rsidRPr="000D6F09">
        <w:t xml:space="preserve"> is </w:t>
      </w:r>
      <w:r>
        <w:t>a government scheme announced in July 2022, as part of the</w:t>
      </w:r>
      <w:r w:rsidR="00953E35" w:rsidRPr="000D6F09">
        <w:t xml:space="preserve"> wider </w:t>
      </w:r>
      <w:r>
        <w:t>L</w:t>
      </w:r>
      <w:r w:rsidR="00953E35" w:rsidRPr="000D6F09">
        <w:t>evelling</w:t>
      </w:r>
      <w:r>
        <w:t>-U</w:t>
      </w:r>
      <w:r w:rsidR="00953E35" w:rsidRPr="000D6F09">
        <w:t>p agenda</w:t>
      </w:r>
      <w:r>
        <w:t xml:space="preserve">. The fund seeks to </w:t>
      </w:r>
      <w:r w:rsidR="00953E35" w:rsidRPr="000D6F09">
        <w:t xml:space="preserve">replace former EU structural funds </w:t>
      </w:r>
      <w:r w:rsidR="00A23F1D" w:rsidRPr="000D6F09">
        <w:t xml:space="preserve">to </w:t>
      </w:r>
      <w:r w:rsidR="00953E35" w:rsidRPr="000D6F09">
        <w:t>improv</w:t>
      </w:r>
      <w:r w:rsidR="00A23F1D" w:rsidRPr="000D6F09">
        <w:t>e</w:t>
      </w:r>
      <w:r w:rsidR="00953E35" w:rsidRPr="000D6F09">
        <w:t xml:space="preserve"> pride in place and opportunities for local people, across three themes of</w:t>
      </w:r>
      <w:r>
        <w:t>:</w:t>
      </w:r>
    </w:p>
    <w:p w14:paraId="5DCDEE5E" w14:textId="77777777" w:rsidR="00B012D1" w:rsidRDefault="00B012D1" w:rsidP="00B012D1">
      <w:pPr>
        <w:pStyle w:val="ListParagraph"/>
        <w:ind w:left="355" w:firstLine="0"/>
      </w:pPr>
    </w:p>
    <w:p w14:paraId="317D86AC" w14:textId="0D843AAF" w:rsidR="000D6F09" w:rsidRDefault="00953E35" w:rsidP="000D6F09">
      <w:pPr>
        <w:pStyle w:val="ListParagraph"/>
        <w:numPr>
          <w:ilvl w:val="0"/>
          <w:numId w:val="25"/>
        </w:numPr>
      </w:pPr>
      <w:r w:rsidRPr="000D6F09">
        <w:t>Communities and Place</w:t>
      </w:r>
    </w:p>
    <w:p w14:paraId="1791C0D9" w14:textId="77777777" w:rsidR="000D6F09" w:rsidRDefault="00953E35" w:rsidP="000D6F09">
      <w:pPr>
        <w:pStyle w:val="ListParagraph"/>
        <w:numPr>
          <w:ilvl w:val="0"/>
          <w:numId w:val="25"/>
        </w:numPr>
      </w:pPr>
      <w:r w:rsidRPr="000D6F09">
        <w:t xml:space="preserve">People and Skills </w:t>
      </w:r>
    </w:p>
    <w:p w14:paraId="74652E7C" w14:textId="77777777" w:rsidR="000D6F09" w:rsidRDefault="00953E35" w:rsidP="000D6F09">
      <w:pPr>
        <w:pStyle w:val="ListParagraph"/>
        <w:numPr>
          <w:ilvl w:val="0"/>
          <w:numId w:val="25"/>
        </w:numPr>
      </w:pPr>
      <w:r w:rsidRPr="000D6F09">
        <w:t>Supporting Local Businesse</w:t>
      </w:r>
      <w:r w:rsidR="000D6F09">
        <w:t>s</w:t>
      </w:r>
    </w:p>
    <w:p w14:paraId="4D6437D6" w14:textId="77777777" w:rsidR="000D6F09" w:rsidRDefault="000D6F09" w:rsidP="000D6F09"/>
    <w:p w14:paraId="428A6EBE" w14:textId="0CA1D5B5" w:rsidR="007318AE" w:rsidRPr="000D6F09" w:rsidRDefault="00953E35" w:rsidP="000D6F09">
      <w:pPr>
        <w:ind w:left="284" w:firstLine="0"/>
      </w:pPr>
      <w:r w:rsidRPr="000D6F09">
        <w:t>The Rural England Prosperity Fund (REPF) is a</w:t>
      </w:r>
      <w:r w:rsidR="00C675A0">
        <w:t xml:space="preserve">lso a </w:t>
      </w:r>
      <w:r w:rsidR="000D6F09">
        <w:t>government</w:t>
      </w:r>
      <w:r w:rsidRPr="000D6F09">
        <w:t xml:space="preserve"> scheme, integrated into UKSPF </w:t>
      </w:r>
      <w:r w:rsidR="000D6F09">
        <w:t>that</w:t>
      </w:r>
      <w:r w:rsidRPr="000D6F09">
        <w:t xml:space="preserve"> supports productivity and prosperity in</w:t>
      </w:r>
      <w:r w:rsidR="000D6F09">
        <w:t xml:space="preserve"> rural</w:t>
      </w:r>
      <w:r w:rsidRPr="000D6F09">
        <w:t xml:space="preserve"> places</w:t>
      </w:r>
      <w:r w:rsidR="000D6F09">
        <w:t xml:space="preserve"> of need</w:t>
      </w:r>
      <w:r w:rsidRPr="000D6F09">
        <w:t>. For eligible local authorities, REPF is a top-up to</w:t>
      </w:r>
      <w:hyperlink r:id="rId10">
        <w:r w:rsidRPr="000D6F09">
          <w:t xml:space="preserve"> </w:t>
        </w:r>
      </w:hyperlink>
      <w:hyperlink r:id="rId11">
        <w:r w:rsidRPr="000D6F09">
          <w:t>UKSPF</w:t>
        </w:r>
      </w:hyperlink>
      <w:hyperlink r:id="rId12">
        <w:r w:rsidRPr="000D6F09">
          <w:t xml:space="preserve"> </w:t>
        </w:r>
      </w:hyperlink>
      <w:r w:rsidRPr="000D6F09">
        <w:t>allocations, supporting</w:t>
      </w:r>
      <w:r w:rsidR="000D6F09">
        <w:t xml:space="preserve"> additional</w:t>
      </w:r>
      <w:r w:rsidRPr="000D6F09">
        <w:t xml:space="preserve"> activities that specifically address the particular challenges rural areas face.</w:t>
      </w:r>
      <w:r w:rsidRPr="00953E35">
        <w:t xml:space="preserve"> </w:t>
      </w:r>
      <w:r w:rsidRPr="000D6F09">
        <w:t xml:space="preserve"> </w:t>
      </w:r>
    </w:p>
    <w:p w14:paraId="53C73A7A" w14:textId="77777777" w:rsidR="007318AE" w:rsidRDefault="006D5EEA" w:rsidP="000D6F09">
      <w:pPr>
        <w:ind w:left="355" w:hanging="370"/>
      </w:pPr>
      <w:r>
        <w:t xml:space="preserve"> </w:t>
      </w:r>
    </w:p>
    <w:p w14:paraId="1D1B30CA" w14:textId="7998CCF9" w:rsidR="007318AE" w:rsidRDefault="006D5EEA">
      <w:pPr>
        <w:ind w:left="355" w:hanging="370"/>
      </w:pPr>
      <w:r>
        <w:t xml:space="preserve">1.2 Lead local authorities were asked to set out their approach </w:t>
      </w:r>
      <w:r w:rsidR="00702A74">
        <w:t xml:space="preserve">to administering </w:t>
      </w:r>
      <w:r w:rsidR="000D6F09">
        <w:t xml:space="preserve">the </w:t>
      </w:r>
      <w:r w:rsidR="00702A74">
        <w:t>funding in</w:t>
      </w:r>
      <w:r>
        <w:t xml:space="preserve"> their UKSPF</w:t>
      </w:r>
      <w:r w:rsidR="00D1744F">
        <w:t xml:space="preserve"> submissions in July 2022 to draw down funding</w:t>
      </w:r>
      <w:r w:rsidR="000D6F09">
        <w:t>. In Newark and Sherwoo</w:t>
      </w:r>
      <w:r w:rsidR="00D1744F">
        <w:t>d</w:t>
      </w:r>
      <w:r w:rsidR="000D6F09">
        <w:t>, our</w:t>
      </w:r>
      <w:r w:rsidR="00D1744F">
        <w:t xml:space="preserve"> </w:t>
      </w:r>
      <w:r w:rsidR="000D6F09">
        <w:t xml:space="preserve">local programme </w:t>
      </w:r>
      <w:r>
        <w:t xml:space="preserve">investment supports </w:t>
      </w:r>
      <w:r w:rsidR="000D6F09">
        <w:t>the</w:t>
      </w:r>
      <w:r>
        <w:t xml:space="preserve"> established strategic frameworks </w:t>
      </w:r>
      <w:r w:rsidR="000D6F09">
        <w:t>(</w:t>
      </w:r>
      <w:r>
        <w:t xml:space="preserve">including </w:t>
      </w:r>
      <w:hyperlink r:id="rId13">
        <w:r>
          <w:rPr>
            <w:color w:val="0000FF"/>
            <w:u w:val="single" w:color="0000FF"/>
          </w:rPr>
          <w:t>Newark and Sherwood Community Plan and</w:t>
        </w:r>
      </w:hyperlink>
      <w:hyperlink r:id="rId14">
        <w:r>
          <w:rPr>
            <w:color w:val="0000FF"/>
            <w:u w:val="single" w:color="0000FF"/>
          </w:rPr>
          <w:t xml:space="preserve"> </w:t>
        </w:r>
      </w:hyperlink>
      <w:hyperlink r:id="rId15">
        <w:r>
          <w:rPr>
            <w:color w:val="0000FF"/>
            <w:u w:val="single" w:color="0000FF"/>
          </w:rPr>
          <w:t>Newark and</w:t>
        </w:r>
      </w:hyperlink>
      <w:hyperlink r:id="rId16">
        <w:r>
          <w:rPr>
            <w:color w:val="0000FF"/>
          </w:rPr>
          <w:t xml:space="preserve"> </w:t>
        </w:r>
      </w:hyperlink>
      <w:hyperlink r:id="rId17">
        <w:r>
          <w:rPr>
            <w:color w:val="0000FF"/>
            <w:u w:val="single" w:color="0000FF"/>
          </w:rPr>
          <w:t>Sherwood Economic</w:t>
        </w:r>
      </w:hyperlink>
      <w:hyperlink r:id="rId18">
        <w:r>
          <w:rPr>
            <w:color w:val="0000FF"/>
            <w:u w:val="single" w:color="0000FF"/>
          </w:rPr>
          <w:t xml:space="preserve"> </w:t>
        </w:r>
      </w:hyperlink>
      <w:hyperlink r:id="rId19">
        <w:r>
          <w:rPr>
            <w:color w:val="0000FF"/>
            <w:u w:val="single" w:color="0000FF"/>
          </w:rPr>
          <w:t>Growth Strategy</w:t>
        </w:r>
      </w:hyperlink>
      <w:hyperlink r:id="rId20">
        <w:r w:rsidR="000D6F09">
          <w:rPr>
            <w:color w:val="0000FF"/>
            <w:u w:val="single" w:color="0000FF"/>
          </w:rPr>
          <w:t>).</w:t>
        </w:r>
      </w:hyperlink>
    </w:p>
    <w:p w14:paraId="372B8063" w14:textId="77777777" w:rsidR="007318AE" w:rsidRDefault="006D5EEA">
      <w:pPr>
        <w:spacing w:after="0" w:line="259" w:lineRule="auto"/>
        <w:ind w:left="720" w:firstLine="0"/>
      </w:pPr>
      <w:r>
        <w:t xml:space="preserve"> </w:t>
      </w:r>
    </w:p>
    <w:p w14:paraId="1AE928FD" w14:textId="77777777" w:rsidR="007318AE" w:rsidRDefault="006D5EEA">
      <w:pPr>
        <w:ind w:left="355" w:hanging="370"/>
      </w:pPr>
      <w:r>
        <w:t xml:space="preserve">1.3 We have engaged with a number of key stakeholders in developing our plans, ensuring our selected focus for investment is evidence based and demonstrates local needs, </w:t>
      </w:r>
      <w:proofErr w:type="gramStart"/>
      <w:r>
        <w:t>challenges</w:t>
      </w:r>
      <w:proofErr w:type="gramEnd"/>
      <w:r>
        <w:t xml:space="preserve"> and opportunities. Newark and Sherwood Community Partnership govern the delivery of the UKSPF/REPF plan, with representatives from local businesses, charities, community groups and public sector partners supporting to shape programme delivery.  </w:t>
      </w:r>
    </w:p>
    <w:p w14:paraId="7DD62F46" w14:textId="77777777" w:rsidR="007318AE" w:rsidRDefault="006D5EEA">
      <w:pPr>
        <w:spacing w:after="0" w:line="259" w:lineRule="auto"/>
        <w:ind w:left="0" w:firstLine="0"/>
      </w:pPr>
      <w:r>
        <w:t xml:space="preserve"> </w:t>
      </w:r>
    </w:p>
    <w:p w14:paraId="1CE08791" w14:textId="38A631B5" w:rsidR="007318AE" w:rsidRPr="00213726" w:rsidRDefault="006D5EEA">
      <w:pPr>
        <w:spacing w:after="0" w:line="259" w:lineRule="auto"/>
        <w:ind w:left="-5"/>
      </w:pPr>
      <w:r w:rsidRPr="009F1730">
        <w:rPr>
          <w:b/>
        </w:rPr>
        <w:t>2.0</w:t>
      </w:r>
      <w:r w:rsidR="00213726" w:rsidRPr="00213726">
        <w:rPr>
          <w:b/>
        </w:rPr>
        <w:t xml:space="preserve"> </w:t>
      </w:r>
      <w:r w:rsidR="00953E35">
        <w:rPr>
          <w:b/>
          <w:u w:val="single"/>
        </w:rPr>
        <w:t>Call for Projects 24-25</w:t>
      </w:r>
    </w:p>
    <w:p w14:paraId="6CBD9852" w14:textId="77777777" w:rsidR="007318AE" w:rsidRDefault="006D5EEA">
      <w:pPr>
        <w:spacing w:after="0" w:line="259" w:lineRule="auto"/>
        <w:ind w:left="0" w:firstLine="0"/>
      </w:pPr>
      <w:r>
        <w:rPr>
          <w:b/>
        </w:rPr>
        <w:t xml:space="preserve"> </w:t>
      </w:r>
    </w:p>
    <w:p w14:paraId="4089690A" w14:textId="02478C16" w:rsidR="007318AE" w:rsidRDefault="006D5EEA">
      <w:pPr>
        <w:ind w:left="413" w:hanging="428"/>
        <w:rPr>
          <w:b/>
          <w:bCs/>
        </w:rPr>
      </w:pPr>
      <w:r>
        <w:t xml:space="preserve">2.1  </w:t>
      </w:r>
      <w:r w:rsidR="00C675A0">
        <w:t>Expressions of Interest (EOI)</w:t>
      </w:r>
      <w:r w:rsidR="000D6F09">
        <w:t xml:space="preserve"> for </w:t>
      </w:r>
      <w:r w:rsidR="00C675A0">
        <w:t xml:space="preserve">UKSPF/REPF </w:t>
      </w:r>
      <w:r w:rsidR="000D6F09">
        <w:t>g</w:t>
      </w:r>
      <w:r>
        <w:t xml:space="preserve">rant funding </w:t>
      </w:r>
      <w:r w:rsidR="009F1730">
        <w:t xml:space="preserve">can be submitted </w:t>
      </w:r>
      <w:r w:rsidR="00702A74">
        <w:t xml:space="preserve">for </w:t>
      </w:r>
      <w:r w:rsidR="00213726">
        <w:t xml:space="preserve">projects that </w:t>
      </w:r>
      <w:r w:rsidR="00C675A0">
        <w:t xml:space="preserve">deliver </w:t>
      </w:r>
      <w:r w:rsidR="00213726">
        <w:t xml:space="preserve">our </w:t>
      </w:r>
      <w:r w:rsidR="00C675A0">
        <w:t xml:space="preserve">programme </w:t>
      </w:r>
      <w:r w:rsidR="00213726">
        <w:t xml:space="preserve">investment priorities and </w:t>
      </w:r>
      <w:r>
        <w:t>enhance opportunities for local</w:t>
      </w:r>
      <w:r w:rsidR="000D6F09">
        <w:t xml:space="preserve"> communities and </w:t>
      </w:r>
      <w:r w:rsidR="00C675A0">
        <w:t xml:space="preserve">the </w:t>
      </w:r>
      <w:r w:rsidR="000D6F09">
        <w:t>visitor economy</w:t>
      </w:r>
      <w:r w:rsidR="00702A74">
        <w:t xml:space="preserve">. </w:t>
      </w:r>
      <w:r w:rsidR="00C675A0">
        <w:t>For this particular call, t</w:t>
      </w:r>
      <w:r w:rsidR="00702A74">
        <w:t>his</w:t>
      </w:r>
      <w:r w:rsidR="00EF5945">
        <w:t xml:space="preserve"> includes </w:t>
      </w:r>
      <w:r>
        <w:t>a small number of</w:t>
      </w:r>
      <w:r w:rsidR="00213726">
        <w:t xml:space="preserve"> </w:t>
      </w:r>
      <w:r>
        <w:t xml:space="preserve">projects </w:t>
      </w:r>
      <w:r w:rsidR="00213726">
        <w:t xml:space="preserve">to be delivered between </w:t>
      </w:r>
      <w:r w:rsidR="00213726" w:rsidRPr="00213726">
        <w:rPr>
          <w:b/>
          <w:bCs/>
        </w:rPr>
        <w:t>April 2024 and March 2025</w:t>
      </w:r>
      <w:r w:rsidR="00EF5945">
        <w:rPr>
          <w:b/>
          <w:bCs/>
        </w:rPr>
        <w:t xml:space="preserve"> </w:t>
      </w:r>
      <w:r w:rsidR="00EF5945" w:rsidRPr="00EF5945">
        <w:t xml:space="preserve">across </w:t>
      </w:r>
      <w:r w:rsidR="00D1744F">
        <w:t xml:space="preserve">one or more of </w:t>
      </w:r>
      <w:r w:rsidR="00EF5945" w:rsidRPr="00EF5945">
        <w:t>the following themes</w:t>
      </w:r>
      <w:r w:rsidR="00EF5945">
        <w:rPr>
          <w:b/>
          <w:bCs/>
        </w:rPr>
        <w:t>:</w:t>
      </w:r>
    </w:p>
    <w:p w14:paraId="4EE389E6" w14:textId="77777777" w:rsidR="00286804" w:rsidRDefault="00286804">
      <w:pPr>
        <w:ind w:left="413" w:hanging="428"/>
        <w:rPr>
          <w:b/>
          <w:bCs/>
        </w:rPr>
      </w:pPr>
    </w:p>
    <w:tbl>
      <w:tblPr>
        <w:tblStyle w:val="TableGrid0"/>
        <w:tblW w:w="0" w:type="auto"/>
        <w:tblInd w:w="413" w:type="dxa"/>
        <w:tblLook w:val="04A0" w:firstRow="1" w:lastRow="0" w:firstColumn="1" w:lastColumn="0" w:noHBand="0" w:noVBand="1"/>
      </w:tblPr>
      <w:tblGrid>
        <w:gridCol w:w="1992"/>
        <w:gridCol w:w="7333"/>
      </w:tblGrid>
      <w:tr w:rsidR="00286804" w14:paraId="35A652CE" w14:textId="77777777" w:rsidTr="00795095">
        <w:tc>
          <w:tcPr>
            <w:tcW w:w="1992" w:type="dxa"/>
            <w:shd w:val="clear" w:color="auto" w:fill="DEEAF6" w:themeFill="accent5" w:themeFillTint="33"/>
          </w:tcPr>
          <w:p w14:paraId="62890262" w14:textId="0500869F" w:rsidR="00286804" w:rsidRDefault="00286804">
            <w:pPr>
              <w:ind w:left="0" w:firstLine="0"/>
              <w:rPr>
                <w:b/>
                <w:bCs/>
              </w:rPr>
            </w:pPr>
            <w:r>
              <w:rPr>
                <w:b/>
                <w:bCs/>
              </w:rPr>
              <w:t>Tourism and Visitor Economy</w:t>
            </w:r>
          </w:p>
        </w:tc>
        <w:tc>
          <w:tcPr>
            <w:tcW w:w="7333" w:type="dxa"/>
            <w:shd w:val="clear" w:color="auto" w:fill="DEEAF6" w:themeFill="accent5" w:themeFillTint="33"/>
          </w:tcPr>
          <w:p w14:paraId="724EDBBD" w14:textId="0C56DF6B" w:rsidR="00286804" w:rsidRPr="00286804" w:rsidRDefault="00286804" w:rsidP="00286804">
            <w:pPr>
              <w:rPr>
                <w:b/>
                <w:bCs/>
              </w:rPr>
            </w:pPr>
            <w:r w:rsidRPr="00EF5945">
              <w:t xml:space="preserve">Funding </w:t>
            </w:r>
            <w:r w:rsidR="00D1608D">
              <w:t>to support</w:t>
            </w:r>
            <w:r w:rsidRPr="00EF5945">
              <w:t xml:space="preserve"> new and improved heritage and culture</w:t>
            </w:r>
            <w:r w:rsidR="00D1744F">
              <w:t xml:space="preserve"> sites</w:t>
            </w:r>
            <w:r w:rsidRPr="00EF5945">
              <w:t xml:space="preserve"> and/or tourism projects to support the local visitor economy, such as</w:t>
            </w:r>
            <w:r w:rsidRPr="00286804">
              <w:rPr>
                <w:b/>
                <w:bCs/>
              </w:rPr>
              <w:t>:</w:t>
            </w:r>
          </w:p>
          <w:p w14:paraId="5650DEB7" w14:textId="77777777" w:rsidR="00286804" w:rsidRDefault="00286804" w:rsidP="00286804">
            <w:pPr>
              <w:pStyle w:val="ListParagraph"/>
              <w:ind w:left="705" w:firstLine="0"/>
              <w:rPr>
                <w:b/>
                <w:bCs/>
              </w:rPr>
            </w:pPr>
          </w:p>
          <w:p w14:paraId="777CF276" w14:textId="7D604683" w:rsidR="00286804" w:rsidRDefault="00286804" w:rsidP="00286804">
            <w:pPr>
              <w:pStyle w:val="ListParagraph"/>
              <w:numPr>
                <w:ilvl w:val="0"/>
                <w:numId w:val="11"/>
              </w:numPr>
            </w:pPr>
            <w:r w:rsidRPr="00EF5945">
              <w:t xml:space="preserve">local visitor trails and infrastructure </w:t>
            </w:r>
            <w:proofErr w:type="gramStart"/>
            <w:r w:rsidR="004C52F3">
              <w:t>e.g.</w:t>
            </w:r>
            <w:proofErr w:type="gramEnd"/>
            <w:r w:rsidR="004C52F3">
              <w:t xml:space="preserve"> </w:t>
            </w:r>
            <w:r w:rsidRPr="00EF5945">
              <w:t>tourism boards, visitor centres, visitor experiences and general tourist attractions.</w:t>
            </w:r>
          </w:p>
          <w:p w14:paraId="13ABCFFF" w14:textId="77777777" w:rsidR="00286804" w:rsidRDefault="00286804" w:rsidP="00286804">
            <w:pPr>
              <w:pStyle w:val="ListParagraph"/>
              <w:ind w:left="360" w:firstLine="0"/>
            </w:pPr>
          </w:p>
          <w:p w14:paraId="0DD16898" w14:textId="3781CE10" w:rsidR="00286804" w:rsidRPr="00286804" w:rsidRDefault="00B012D1" w:rsidP="00286804">
            <w:pPr>
              <w:pStyle w:val="ListParagraph"/>
              <w:numPr>
                <w:ilvl w:val="0"/>
                <w:numId w:val="11"/>
              </w:numPr>
            </w:pPr>
            <w:r>
              <w:t>i</w:t>
            </w:r>
            <w:r w:rsidR="00286804">
              <w:t>mproving accessibility at heritage and culture sites.</w:t>
            </w:r>
          </w:p>
        </w:tc>
      </w:tr>
      <w:tr w:rsidR="00286804" w14:paraId="423B405A" w14:textId="77777777" w:rsidTr="00795095">
        <w:tc>
          <w:tcPr>
            <w:tcW w:w="1992" w:type="dxa"/>
            <w:shd w:val="clear" w:color="auto" w:fill="E2EFD9" w:themeFill="accent6" w:themeFillTint="33"/>
          </w:tcPr>
          <w:p w14:paraId="48C37C88" w14:textId="52F05698" w:rsidR="00286804" w:rsidRDefault="00286804">
            <w:pPr>
              <w:ind w:left="0" w:firstLine="0"/>
              <w:rPr>
                <w:b/>
                <w:bCs/>
              </w:rPr>
            </w:pPr>
            <w:r>
              <w:rPr>
                <w:b/>
                <w:bCs/>
              </w:rPr>
              <w:t>Rural Communities</w:t>
            </w:r>
          </w:p>
        </w:tc>
        <w:tc>
          <w:tcPr>
            <w:tcW w:w="7333" w:type="dxa"/>
            <w:shd w:val="clear" w:color="auto" w:fill="E2EFD9" w:themeFill="accent6" w:themeFillTint="33"/>
          </w:tcPr>
          <w:p w14:paraId="596AF62B" w14:textId="345AB268" w:rsidR="00D1608D" w:rsidRDefault="00286804" w:rsidP="00D1608D">
            <w:r w:rsidRPr="00EF5945">
              <w:t xml:space="preserve">Funding </w:t>
            </w:r>
            <w:r w:rsidR="00D1608D">
              <w:t>to suppo</w:t>
            </w:r>
            <w:r w:rsidRPr="00EF5945">
              <w:t>r</w:t>
            </w:r>
            <w:r w:rsidR="00D1608D">
              <w:t>t</w:t>
            </w:r>
            <w:r w:rsidR="00D1744F">
              <w:t xml:space="preserve"> new and improved community </w:t>
            </w:r>
            <w:r w:rsidR="00D1744F" w:rsidRPr="00D1608D">
              <w:t xml:space="preserve">assets </w:t>
            </w:r>
            <w:r w:rsidRPr="00D1608D">
              <w:t>in rural areas* t</w:t>
            </w:r>
            <w:r w:rsidR="00D1744F" w:rsidRPr="00D1608D">
              <w:t>o</w:t>
            </w:r>
            <w:r w:rsidR="00D1744F">
              <w:t xml:space="preserve"> </w:t>
            </w:r>
            <w:r w:rsidRPr="00EF5945">
              <w:t xml:space="preserve">enable residents to access social, </w:t>
            </w:r>
            <w:r w:rsidR="00B012D1" w:rsidRPr="00EF5945">
              <w:t>physical,</w:t>
            </w:r>
            <w:r w:rsidRPr="00EF5945">
              <w:t xml:space="preserve"> or cultural opportunities, such as:</w:t>
            </w:r>
          </w:p>
          <w:p w14:paraId="1ACD524C" w14:textId="77777777" w:rsidR="00D1608D" w:rsidRDefault="00D1608D" w:rsidP="00D1608D"/>
          <w:p w14:paraId="434B0DEA" w14:textId="4CF3D165" w:rsidR="00A23F1D" w:rsidRDefault="00B012D1" w:rsidP="00D1608D">
            <w:pPr>
              <w:pStyle w:val="ListParagraph"/>
              <w:numPr>
                <w:ilvl w:val="0"/>
                <w:numId w:val="27"/>
              </w:numPr>
            </w:pPr>
            <w:r>
              <w:t>i</w:t>
            </w:r>
            <w:r w:rsidR="00286804">
              <w:t xml:space="preserve">ndoor and outdoor spaces </w:t>
            </w:r>
            <w:proofErr w:type="gramStart"/>
            <w:r w:rsidR="004C52F3">
              <w:t>e.g.</w:t>
            </w:r>
            <w:proofErr w:type="gramEnd"/>
            <w:r w:rsidR="00286804">
              <w:t xml:space="preserve"> village halls, libraries, sports facilities, community gardens and centres.</w:t>
            </w:r>
          </w:p>
          <w:p w14:paraId="72B67C4C" w14:textId="77777777" w:rsidR="00286804" w:rsidRDefault="00286804" w:rsidP="00702A74">
            <w:pPr>
              <w:ind w:left="0" w:firstLine="0"/>
              <w:rPr>
                <w:b/>
                <w:bCs/>
              </w:rPr>
            </w:pPr>
          </w:p>
          <w:p w14:paraId="5C54F4AC" w14:textId="0D1A7F8A" w:rsidR="00286804" w:rsidRPr="00286804" w:rsidRDefault="00286804" w:rsidP="00286804">
            <w:pPr>
              <w:rPr>
                <w:b/>
                <w:bCs/>
              </w:rPr>
            </w:pPr>
            <w:r w:rsidRPr="00286804">
              <w:t>*</w:t>
            </w:r>
            <w:proofErr w:type="gramStart"/>
            <w:r w:rsidRPr="00286804">
              <w:rPr>
                <w:i/>
                <w:iCs/>
              </w:rPr>
              <w:t>rural</w:t>
            </w:r>
            <w:proofErr w:type="gramEnd"/>
            <w:r w:rsidRPr="00286804">
              <w:rPr>
                <w:i/>
                <w:iCs/>
              </w:rPr>
              <w:t xml:space="preserve"> communities must be located within areas of the </w:t>
            </w:r>
            <w:r w:rsidR="00D1608D">
              <w:rPr>
                <w:i/>
                <w:iCs/>
              </w:rPr>
              <w:t>d</w:t>
            </w:r>
            <w:r w:rsidRPr="00286804">
              <w:rPr>
                <w:i/>
                <w:iCs/>
              </w:rPr>
              <w:t xml:space="preserve">istrict pre-determined by DEFRA to be considered ‘rural’. Please contact </w:t>
            </w:r>
            <w:hyperlink r:id="rId21" w:history="1">
              <w:r w:rsidRPr="00286804">
                <w:rPr>
                  <w:rStyle w:val="Hyperlink"/>
                  <w:i/>
                  <w:iCs/>
                </w:rPr>
                <w:t>UKSPF@newark-sherwooddc.gov.uk</w:t>
              </w:r>
            </w:hyperlink>
            <w:r w:rsidRPr="00286804">
              <w:rPr>
                <w:i/>
                <w:iCs/>
              </w:rPr>
              <w:t xml:space="preserve"> to understand if a project may be eligible</w:t>
            </w:r>
            <w:r w:rsidR="00D1744F">
              <w:rPr>
                <w:i/>
                <w:iCs/>
              </w:rPr>
              <w:t xml:space="preserve"> under this theme.</w:t>
            </w:r>
          </w:p>
        </w:tc>
      </w:tr>
      <w:tr w:rsidR="00286804" w14:paraId="27C7E4E8" w14:textId="77777777" w:rsidTr="00795095">
        <w:tc>
          <w:tcPr>
            <w:tcW w:w="1992" w:type="dxa"/>
            <w:shd w:val="clear" w:color="auto" w:fill="FFF2CC" w:themeFill="accent4" w:themeFillTint="33"/>
          </w:tcPr>
          <w:p w14:paraId="76209CAD" w14:textId="3FF863B4" w:rsidR="00286804" w:rsidRDefault="00286804">
            <w:pPr>
              <w:ind w:left="0" w:firstLine="0"/>
              <w:rPr>
                <w:b/>
                <w:bCs/>
              </w:rPr>
            </w:pPr>
            <w:r w:rsidRPr="00286804">
              <w:rPr>
                <w:b/>
                <w:bCs/>
              </w:rPr>
              <w:lastRenderedPageBreak/>
              <w:t>People and Skills</w:t>
            </w:r>
          </w:p>
        </w:tc>
        <w:tc>
          <w:tcPr>
            <w:tcW w:w="7333" w:type="dxa"/>
            <w:shd w:val="clear" w:color="auto" w:fill="FFF2CC" w:themeFill="accent4" w:themeFillTint="33"/>
          </w:tcPr>
          <w:p w14:paraId="3C4F9207" w14:textId="77777777" w:rsidR="00D1744F" w:rsidRDefault="00286804">
            <w:pPr>
              <w:ind w:left="0" w:firstLine="0"/>
            </w:pPr>
            <w:r w:rsidRPr="00286804">
              <w:t>Funding for</w:t>
            </w:r>
            <w:r>
              <w:t xml:space="preserve"> volunteering or enrichment</w:t>
            </w:r>
            <w:r w:rsidRPr="00286804">
              <w:t xml:space="preserve"> projects that provide support to communities at risk of, or already considered NEET</w:t>
            </w:r>
            <w:r>
              <w:t xml:space="preserve"> (aged 11+)</w:t>
            </w:r>
            <w:r w:rsidR="00D1744F">
              <w:t>.</w:t>
            </w:r>
          </w:p>
          <w:p w14:paraId="04E084AD" w14:textId="77777777" w:rsidR="00D1744F" w:rsidRDefault="00D1744F">
            <w:pPr>
              <w:ind w:left="0" w:firstLine="0"/>
            </w:pPr>
          </w:p>
          <w:p w14:paraId="03E59BCC" w14:textId="1A42CB5C" w:rsidR="00D1744F" w:rsidRDefault="00D1744F" w:rsidP="00D1744F">
            <w:pPr>
              <w:ind w:left="0" w:firstLine="0"/>
              <w:jc w:val="center"/>
            </w:pPr>
            <w:r>
              <w:t>OR</w:t>
            </w:r>
          </w:p>
          <w:p w14:paraId="2010D62C" w14:textId="77777777" w:rsidR="00D1744F" w:rsidRDefault="00D1744F">
            <w:pPr>
              <w:ind w:left="0" w:firstLine="0"/>
            </w:pPr>
          </w:p>
          <w:p w14:paraId="7452CE79" w14:textId="0AC8AF74" w:rsidR="00286804" w:rsidRDefault="00D1744F">
            <w:pPr>
              <w:ind w:left="0" w:firstLine="0"/>
              <w:rPr>
                <w:b/>
                <w:bCs/>
              </w:rPr>
            </w:pPr>
            <w:r>
              <w:t>F</w:t>
            </w:r>
            <w:r w:rsidR="00286804">
              <w:t xml:space="preserve">unding for projects that provide tailored support for local employers to up-skill their workforce or progress within the </w:t>
            </w:r>
            <w:r w:rsidR="00D1608D">
              <w:t>employment</w:t>
            </w:r>
            <w:r w:rsidR="00286804">
              <w:t xml:space="preserve"> by addressing local skills gaps.</w:t>
            </w:r>
          </w:p>
        </w:tc>
      </w:tr>
    </w:tbl>
    <w:p w14:paraId="74D852D7" w14:textId="29EF0A67" w:rsidR="00286804" w:rsidRDefault="00286804" w:rsidP="00D1744F">
      <w:pPr>
        <w:ind w:left="0" w:firstLine="0"/>
        <w:rPr>
          <w:b/>
          <w:bCs/>
        </w:rPr>
      </w:pPr>
    </w:p>
    <w:p w14:paraId="53358BDA" w14:textId="4CA009E2" w:rsidR="007318AE" w:rsidRDefault="006D5EEA">
      <w:pPr>
        <w:ind w:left="413" w:hanging="428"/>
      </w:pPr>
      <w:r>
        <w:t xml:space="preserve">2.2 Any </w:t>
      </w:r>
      <w:r w:rsidR="00D1744F">
        <w:t>applicants</w:t>
      </w:r>
      <w:r>
        <w:t xml:space="preserve"> should </w:t>
      </w:r>
      <w:r w:rsidR="00286804">
        <w:t xml:space="preserve">consider </w:t>
      </w:r>
      <w:r w:rsidR="002C62FB">
        <w:t>and</w:t>
      </w:r>
      <w:r w:rsidR="00B012D1">
        <w:t xml:space="preserve"> where possible, </w:t>
      </w:r>
      <w:r w:rsidR="002C62FB">
        <w:t xml:space="preserve">address </w:t>
      </w:r>
      <w:r w:rsidR="00286804">
        <w:t>the</w:t>
      </w:r>
      <w:r w:rsidR="00D1608D">
        <w:t xml:space="preserve"> potential</w:t>
      </w:r>
      <w:r w:rsidR="00286804">
        <w:t xml:space="preserve"> impact upon</w:t>
      </w:r>
      <w:r>
        <w:t xml:space="preserve"> environmental sustainability</w:t>
      </w:r>
      <w:r w:rsidR="00D1744F">
        <w:t xml:space="preserve"> throughout project </w:t>
      </w:r>
      <w:r w:rsidR="00C675A0">
        <w:t xml:space="preserve">design and </w:t>
      </w:r>
      <w:r w:rsidR="00D1744F">
        <w:t>delivery</w:t>
      </w:r>
      <w:r>
        <w:t>, such as</w:t>
      </w:r>
      <w:r w:rsidR="00286804">
        <w:t xml:space="preserve"> consideration of</w:t>
      </w:r>
      <w:r>
        <w:t xml:space="preserve">: </w:t>
      </w:r>
    </w:p>
    <w:p w14:paraId="48431F15" w14:textId="77777777" w:rsidR="007318AE" w:rsidRDefault="006D5EEA">
      <w:pPr>
        <w:spacing w:after="0" w:line="259" w:lineRule="auto"/>
        <w:ind w:left="0" w:firstLine="0"/>
      </w:pPr>
      <w:r>
        <w:t xml:space="preserve"> </w:t>
      </w:r>
    </w:p>
    <w:p w14:paraId="520C5041" w14:textId="78DA6A9B" w:rsidR="007318AE" w:rsidRDefault="00D34377">
      <w:pPr>
        <w:numPr>
          <w:ilvl w:val="0"/>
          <w:numId w:val="1"/>
        </w:numPr>
        <w:spacing w:after="54"/>
        <w:ind w:hanging="286"/>
      </w:pPr>
      <w:r>
        <w:t>t</w:t>
      </w:r>
      <w:r w:rsidR="006D5EEA">
        <w:t xml:space="preserve">he UK’s commitment to cut greenhouse gas emissions to net zero by </w:t>
      </w:r>
      <w:proofErr w:type="gramStart"/>
      <w:r w:rsidR="006D5EEA">
        <w:t>2050</w:t>
      </w:r>
      <w:proofErr w:type="gramEnd"/>
      <w:r w:rsidR="006D5EEA">
        <w:t xml:space="preserve"> </w:t>
      </w:r>
    </w:p>
    <w:p w14:paraId="33EF026E" w14:textId="132BADC0" w:rsidR="00E54881" w:rsidRDefault="00D34377">
      <w:pPr>
        <w:numPr>
          <w:ilvl w:val="0"/>
          <w:numId w:val="1"/>
        </w:numPr>
        <w:spacing w:line="299" w:lineRule="auto"/>
        <w:ind w:hanging="286"/>
      </w:pPr>
      <w:r>
        <w:t>w</w:t>
      </w:r>
      <w:r w:rsidR="006D5EEA">
        <w:t>ider environmental considerations, such as resilience to natural hazards</w:t>
      </w:r>
    </w:p>
    <w:p w14:paraId="3D6FAF78" w14:textId="035C2780" w:rsidR="007318AE" w:rsidRDefault="00D34377">
      <w:pPr>
        <w:numPr>
          <w:ilvl w:val="0"/>
          <w:numId w:val="1"/>
        </w:numPr>
        <w:spacing w:line="299" w:lineRule="auto"/>
        <w:ind w:hanging="286"/>
      </w:pPr>
      <w:r>
        <w:t>t</w:t>
      </w:r>
      <w:r w:rsidR="006D5EEA">
        <w:t>he</w:t>
      </w:r>
      <w:hyperlink r:id="rId22">
        <w:r w:rsidR="006D5EEA">
          <w:t xml:space="preserve"> </w:t>
        </w:r>
      </w:hyperlink>
      <w:hyperlink r:id="rId23">
        <w:r w:rsidR="006D5EEA">
          <w:rPr>
            <w:color w:val="0000FF"/>
            <w:u w:val="single" w:color="0000FF"/>
          </w:rPr>
          <w:t>25 Year Environment Plan</w:t>
        </w:r>
      </w:hyperlink>
      <w:hyperlink r:id="rId24">
        <w:r w:rsidR="006D5EEA">
          <w:t xml:space="preserve"> </w:t>
        </w:r>
      </w:hyperlink>
      <w:r w:rsidR="006D5EEA">
        <w:t xml:space="preserve">commitments </w:t>
      </w:r>
    </w:p>
    <w:p w14:paraId="00AB70FB" w14:textId="77777777" w:rsidR="007318AE" w:rsidRDefault="006D5EEA">
      <w:pPr>
        <w:spacing w:after="52" w:line="259" w:lineRule="auto"/>
        <w:ind w:left="0" w:firstLine="0"/>
      </w:pPr>
      <w:r>
        <w:rPr>
          <w:b/>
        </w:rPr>
        <w:t xml:space="preserve"> </w:t>
      </w:r>
    </w:p>
    <w:p w14:paraId="4C19ED41" w14:textId="77777777" w:rsidR="007318AE" w:rsidRDefault="006D5EEA">
      <w:pPr>
        <w:ind w:left="-5"/>
      </w:pPr>
      <w:r>
        <w:t xml:space="preserve">2.3  We cannot support projects that have received funding from other DEFRA schemes, as below:  </w:t>
      </w:r>
    </w:p>
    <w:p w14:paraId="19AFA691" w14:textId="77777777" w:rsidR="007318AE" w:rsidRDefault="006D5EEA">
      <w:pPr>
        <w:spacing w:after="0" w:line="259" w:lineRule="auto"/>
        <w:ind w:left="0" w:firstLine="0"/>
      </w:pPr>
      <w:r>
        <w:t xml:space="preserve"> </w:t>
      </w:r>
    </w:p>
    <w:p w14:paraId="0295C05A" w14:textId="0BCC14F3" w:rsidR="007318AE" w:rsidRDefault="009E2AEB">
      <w:pPr>
        <w:numPr>
          <w:ilvl w:val="0"/>
          <w:numId w:val="1"/>
        </w:numPr>
        <w:spacing w:after="65"/>
        <w:ind w:hanging="286"/>
      </w:pPr>
      <w:hyperlink r:id="rId25">
        <w:r w:rsidR="006D5EEA">
          <w:rPr>
            <w:color w:val="0000FF"/>
            <w:u w:val="single" w:color="0000FF"/>
          </w:rPr>
          <w:t>The Farming in Protected Landscapes Programme</w:t>
        </w:r>
      </w:hyperlink>
      <w:hyperlink r:id="rId26">
        <w:r w:rsidR="006D5EEA">
          <w:t xml:space="preserve"> </w:t>
        </w:r>
      </w:hyperlink>
      <w:r w:rsidR="006D5EEA">
        <w:t>- funding for farmers and land managers to work in partnership with National Parks and Areas of Outstanding Natural Beauty bodies to deliver projects on climate, nature, people and place</w:t>
      </w:r>
      <w:r w:rsidR="004C52F3">
        <w:t>.</w:t>
      </w:r>
      <w:r w:rsidR="006D5EEA">
        <w:t xml:space="preserve"> </w:t>
      </w:r>
    </w:p>
    <w:p w14:paraId="4600EE99" w14:textId="0643CEFF" w:rsidR="007318AE" w:rsidRDefault="009E2AEB">
      <w:pPr>
        <w:numPr>
          <w:ilvl w:val="0"/>
          <w:numId w:val="1"/>
        </w:numPr>
        <w:spacing w:after="65"/>
        <w:ind w:hanging="286"/>
      </w:pPr>
      <w:hyperlink r:id="rId27">
        <w:r w:rsidR="006D5EEA">
          <w:rPr>
            <w:color w:val="0000FF"/>
            <w:u w:val="single" w:color="0000FF"/>
          </w:rPr>
          <w:t>The</w:t>
        </w:r>
      </w:hyperlink>
      <w:hyperlink r:id="rId28">
        <w:r w:rsidR="006D5EEA">
          <w:rPr>
            <w:color w:val="0000FF"/>
            <w:u w:val="single" w:color="0000FF"/>
          </w:rPr>
          <w:t xml:space="preserve"> </w:t>
        </w:r>
      </w:hyperlink>
      <w:hyperlink r:id="rId29">
        <w:r w:rsidR="006D5EEA">
          <w:rPr>
            <w:color w:val="0000FF"/>
            <w:u w:val="single" w:color="0000FF"/>
          </w:rPr>
          <w:t>Farming Investment Fund</w:t>
        </w:r>
      </w:hyperlink>
      <w:hyperlink r:id="rId30">
        <w:r w:rsidR="006D5EEA">
          <w:rPr>
            <w:color w:val="0000FF"/>
          </w:rPr>
          <w:t xml:space="preserve"> </w:t>
        </w:r>
      </w:hyperlink>
      <w:r w:rsidR="006D5EEA">
        <w:rPr>
          <w:color w:val="0000FF"/>
        </w:rPr>
        <w:t>-</w:t>
      </w:r>
      <w:r w:rsidR="006D5EEA">
        <w:t xml:space="preserve"> grants to improve productivity and bring environmental benefits, covering </w:t>
      </w:r>
      <w:r w:rsidR="00E54881">
        <w:t>two</w:t>
      </w:r>
      <w:r w:rsidR="006D5EEA">
        <w:t xml:space="preserve"> funds - the Farming Equipment and Technology Fund and the Farming Transformation Fund</w:t>
      </w:r>
      <w:r w:rsidR="004C52F3">
        <w:t>.</w:t>
      </w:r>
      <w:r w:rsidR="006D5EEA">
        <w:t xml:space="preserve"> </w:t>
      </w:r>
    </w:p>
    <w:p w14:paraId="42BD2CFE" w14:textId="5A2AD066" w:rsidR="00286804" w:rsidRDefault="009E2AEB" w:rsidP="00286804">
      <w:pPr>
        <w:numPr>
          <w:ilvl w:val="0"/>
          <w:numId w:val="1"/>
        </w:numPr>
        <w:ind w:hanging="286"/>
      </w:pPr>
      <w:hyperlink r:id="rId31">
        <w:r w:rsidR="006D5EEA">
          <w:rPr>
            <w:color w:val="0000FF"/>
            <w:u w:val="single" w:color="0000FF"/>
          </w:rPr>
          <w:t>The Platinum Jubilee Village Hall Improvement Grant Fund</w:t>
        </w:r>
      </w:hyperlink>
      <w:hyperlink r:id="rId32">
        <w:r w:rsidR="006D5EEA">
          <w:t xml:space="preserve"> </w:t>
        </w:r>
      </w:hyperlink>
      <w:r w:rsidR="006D5EEA">
        <w:t xml:space="preserve">- grant funding over </w:t>
      </w:r>
      <w:r w:rsidR="00E54881">
        <w:t>three</w:t>
      </w:r>
      <w:r w:rsidR="006D5EEA">
        <w:t xml:space="preserve"> years (to 2025) to support capital improvement projects for village halls, covering extending buildings and modernising facilities.  </w:t>
      </w:r>
    </w:p>
    <w:p w14:paraId="11296F01" w14:textId="77777777" w:rsidR="00286804" w:rsidRDefault="00286804" w:rsidP="009F1730">
      <w:pPr>
        <w:ind w:left="426" w:firstLine="0"/>
      </w:pPr>
    </w:p>
    <w:p w14:paraId="1D3DF648" w14:textId="77777777" w:rsidR="00286804" w:rsidRPr="00286804" w:rsidRDefault="00286804" w:rsidP="009F1730">
      <w:pPr>
        <w:numPr>
          <w:ilvl w:val="1"/>
          <w:numId w:val="2"/>
        </w:numPr>
        <w:spacing w:after="395"/>
        <w:ind w:left="426" w:hanging="430"/>
      </w:pPr>
      <w:r>
        <w:rPr>
          <w:b/>
          <w:u w:val="single" w:color="000000"/>
        </w:rPr>
        <w:t>Who can apply?</w:t>
      </w:r>
    </w:p>
    <w:p w14:paraId="35132250" w14:textId="703233F4" w:rsidR="007318AE" w:rsidRDefault="00657FB9" w:rsidP="009F1730">
      <w:pPr>
        <w:numPr>
          <w:ilvl w:val="1"/>
          <w:numId w:val="2"/>
        </w:numPr>
        <w:spacing w:after="395"/>
        <w:ind w:left="426" w:hanging="430"/>
      </w:pPr>
      <w:r>
        <w:t xml:space="preserve">The following organisations </w:t>
      </w:r>
      <w:r w:rsidR="00C166F4">
        <w:t xml:space="preserve">in Newark and Sherwood </w:t>
      </w:r>
      <w:r w:rsidR="006D5EEA">
        <w:t>may apply</w:t>
      </w:r>
      <w:r w:rsidR="00D1608D">
        <w:t xml:space="preserve"> for grant funding:</w:t>
      </w:r>
    </w:p>
    <w:p w14:paraId="78224B43" w14:textId="024929BC" w:rsidR="00657FB9" w:rsidRDefault="00D34377" w:rsidP="009F1730">
      <w:pPr>
        <w:numPr>
          <w:ilvl w:val="0"/>
          <w:numId w:val="1"/>
        </w:numPr>
        <w:spacing w:after="55"/>
        <w:ind w:hanging="286"/>
      </w:pPr>
      <w:r>
        <w:t>p</w:t>
      </w:r>
      <w:r w:rsidR="00657FB9">
        <w:t xml:space="preserve">arish and </w:t>
      </w:r>
      <w:r w:rsidR="00E54881">
        <w:t>town councils</w:t>
      </w:r>
      <w:r w:rsidR="009E2AEB">
        <w:t xml:space="preserve"> and public sector organisations.</w:t>
      </w:r>
    </w:p>
    <w:p w14:paraId="7B7A57FE" w14:textId="5C7CB4F4" w:rsidR="007318AE" w:rsidRDefault="00D34377" w:rsidP="009F1730">
      <w:pPr>
        <w:numPr>
          <w:ilvl w:val="0"/>
          <w:numId w:val="1"/>
        </w:numPr>
        <w:spacing w:after="55"/>
        <w:ind w:hanging="286"/>
      </w:pPr>
      <w:r>
        <w:t>r</w:t>
      </w:r>
      <w:r w:rsidR="00657FB9">
        <w:t xml:space="preserve">egistered </w:t>
      </w:r>
      <w:r w:rsidR="00E54881">
        <w:t>community</w:t>
      </w:r>
      <w:r w:rsidR="00C675A0">
        <w:t>/</w:t>
      </w:r>
      <w:r w:rsidR="00E54881">
        <w:t>voluntary organisations and charitie</w:t>
      </w:r>
      <w:r w:rsidR="00795095">
        <w:t>s, including CIC’s.</w:t>
      </w:r>
    </w:p>
    <w:p w14:paraId="3960169A" w14:textId="4BD2B676" w:rsidR="00657FB9" w:rsidRDefault="00D34377" w:rsidP="009F1730">
      <w:pPr>
        <w:numPr>
          <w:ilvl w:val="0"/>
          <w:numId w:val="1"/>
        </w:numPr>
        <w:spacing w:after="55"/>
        <w:ind w:hanging="286"/>
      </w:pPr>
      <w:r>
        <w:t>h</w:t>
      </w:r>
      <w:r w:rsidR="00657FB9">
        <w:t xml:space="preserve">igher and </w:t>
      </w:r>
      <w:r w:rsidR="00E54881">
        <w:t xml:space="preserve">further education institutions </w:t>
      </w:r>
      <w:r w:rsidR="00657FB9">
        <w:t>(</w:t>
      </w:r>
      <w:r w:rsidR="00E54881">
        <w:t xml:space="preserve">people and skills </w:t>
      </w:r>
      <w:r w:rsidR="00657FB9">
        <w:t>projects only)</w:t>
      </w:r>
      <w:r w:rsidR="00E54881">
        <w:t>.</w:t>
      </w:r>
    </w:p>
    <w:p w14:paraId="69DBD98E" w14:textId="7B616670" w:rsidR="009E2AEB" w:rsidRPr="009E2AEB" w:rsidRDefault="009E2AEB" w:rsidP="009E2AEB">
      <w:pPr>
        <w:numPr>
          <w:ilvl w:val="0"/>
          <w:numId w:val="1"/>
        </w:numPr>
        <w:spacing w:after="55"/>
        <w:ind w:hanging="286"/>
        <w:rPr>
          <w:sz w:val="32"/>
          <w:szCs w:val="32"/>
        </w:rPr>
      </w:pPr>
      <w:r>
        <w:t xml:space="preserve">Private sector companies - </w:t>
      </w:r>
      <w:r w:rsidRPr="009E2AEB">
        <w:rPr>
          <w:b/>
          <w:bCs/>
          <w:shd w:val="clear" w:color="auto" w:fill="FFFFFF"/>
        </w:rPr>
        <w:t>g</w:t>
      </w:r>
      <w:r w:rsidRPr="009E2AEB">
        <w:rPr>
          <w:b/>
          <w:bCs/>
          <w:shd w:val="clear" w:color="auto" w:fill="FFFFFF"/>
        </w:rPr>
        <w:t>rant opportunities for investment small and micro businesses will be announced early 2024.</w:t>
      </w:r>
    </w:p>
    <w:p w14:paraId="1A73E5AB" w14:textId="1BC40EBD" w:rsidR="007318AE" w:rsidRDefault="007318AE" w:rsidP="009F1730">
      <w:pPr>
        <w:spacing w:after="0" w:line="259" w:lineRule="auto"/>
        <w:ind w:left="426" w:firstLine="0"/>
      </w:pPr>
    </w:p>
    <w:p w14:paraId="6B3E83FF" w14:textId="308BA2F8" w:rsidR="007318AE" w:rsidRDefault="009F1730" w:rsidP="009F1730">
      <w:pPr>
        <w:pStyle w:val="ListParagraph"/>
        <w:numPr>
          <w:ilvl w:val="0"/>
          <w:numId w:val="29"/>
        </w:numPr>
        <w:spacing w:after="52" w:line="259" w:lineRule="auto"/>
        <w:ind w:left="426" w:hanging="426"/>
      </w:pPr>
      <w:r w:rsidRPr="009F1730">
        <w:rPr>
          <w:bCs/>
        </w:rPr>
        <w:t xml:space="preserve"> </w:t>
      </w:r>
      <w:r w:rsidR="006D5EEA" w:rsidRPr="009F1730">
        <w:rPr>
          <w:b/>
          <w:u w:val="single" w:color="000000"/>
        </w:rPr>
        <w:t>What costs may be eligible?</w:t>
      </w:r>
      <w:r w:rsidR="006D5EEA" w:rsidRPr="009F1730">
        <w:rPr>
          <w:b/>
        </w:rPr>
        <w:t xml:space="preserve"> </w:t>
      </w:r>
    </w:p>
    <w:p w14:paraId="585AB44A" w14:textId="77777777" w:rsidR="007318AE" w:rsidRDefault="006D5EEA" w:rsidP="009F1730">
      <w:pPr>
        <w:spacing w:after="53" w:line="259" w:lineRule="auto"/>
        <w:ind w:left="426" w:hanging="360"/>
      </w:pPr>
      <w:r>
        <w:t xml:space="preserve"> </w:t>
      </w:r>
    </w:p>
    <w:p w14:paraId="2AC34F07" w14:textId="451A6B3E" w:rsidR="007318AE" w:rsidRDefault="006D5EEA" w:rsidP="009F1730">
      <w:pPr>
        <w:pStyle w:val="ListParagraph"/>
        <w:numPr>
          <w:ilvl w:val="1"/>
          <w:numId w:val="15"/>
        </w:numPr>
        <w:spacing w:after="67"/>
        <w:ind w:left="426"/>
      </w:pPr>
      <w:r w:rsidRPr="00657FB9">
        <w:rPr>
          <w:b/>
        </w:rPr>
        <w:t>The minimum funding request is £</w:t>
      </w:r>
      <w:r w:rsidR="00657FB9" w:rsidRPr="00657FB9">
        <w:rPr>
          <w:b/>
        </w:rPr>
        <w:t>2</w:t>
      </w:r>
      <w:r w:rsidRPr="00657FB9">
        <w:rPr>
          <w:b/>
        </w:rPr>
        <w:t>0,000 per project, with a maximum request of £</w:t>
      </w:r>
      <w:r w:rsidR="00657FB9" w:rsidRPr="00657FB9">
        <w:rPr>
          <w:b/>
        </w:rPr>
        <w:t>1</w:t>
      </w:r>
      <w:r w:rsidRPr="00657FB9">
        <w:rPr>
          <w:b/>
        </w:rPr>
        <w:t>00,000 per project.</w:t>
      </w:r>
      <w:r>
        <w:t xml:space="preserve"> Organisations may submit more than one application for separate </w:t>
      </w:r>
      <w:r w:rsidRPr="00A23F1D">
        <w:t>projects, however the total awarded to a single organisation</w:t>
      </w:r>
      <w:r w:rsidR="00657FB9" w:rsidRPr="00A23F1D">
        <w:t xml:space="preserve"> in this </w:t>
      </w:r>
      <w:r w:rsidR="00D1608D">
        <w:t>call</w:t>
      </w:r>
      <w:r w:rsidRPr="00A23F1D">
        <w:t xml:space="preserve"> will not exceed £</w:t>
      </w:r>
      <w:r w:rsidR="00657FB9" w:rsidRPr="00A23F1D">
        <w:t>1</w:t>
      </w:r>
      <w:r w:rsidRPr="00A23F1D">
        <w:t xml:space="preserve">00,000. </w:t>
      </w:r>
      <w:r w:rsidR="00D1744F" w:rsidRPr="00A23F1D">
        <w:t>Organisations seeking funding under £20,000 may be able to apply for</w:t>
      </w:r>
      <w:r w:rsidR="00A23F1D">
        <w:t xml:space="preserve"> alternative</w:t>
      </w:r>
      <w:r w:rsidR="00D1744F" w:rsidRPr="00A23F1D">
        <w:t xml:space="preserve"> funding through </w:t>
      </w:r>
      <w:hyperlink r:id="rId33" w:history="1">
        <w:r w:rsidR="00D1744F" w:rsidRPr="00A23F1D">
          <w:rPr>
            <w:rStyle w:val="Hyperlink"/>
          </w:rPr>
          <w:t>Newark and Sherwood Community Grant Scheme.</w:t>
        </w:r>
      </w:hyperlink>
    </w:p>
    <w:p w14:paraId="21BB98B6" w14:textId="77777777" w:rsidR="007318AE" w:rsidRDefault="006D5EEA" w:rsidP="009F1730">
      <w:pPr>
        <w:spacing w:after="50" w:line="259" w:lineRule="auto"/>
        <w:ind w:left="426" w:firstLine="0"/>
      </w:pPr>
      <w:r>
        <w:t xml:space="preserve"> </w:t>
      </w:r>
    </w:p>
    <w:p w14:paraId="34DE3770" w14:textId="00630681" w:rsidR="007318AE" w:rsidRDefault="00D1744F" w:rsidP="009F1730">
      <w:pPr>
        <w:numPr>
          <w:ilvl w:val="1"/>
          <w:numId w:val="15"/>
        </w:numPr>
        <w:spacing w:after="64"/>
        <w:ind w:left="426"/>
      </w:pPr>
      <w:r>
        <w:t xml:space="preserve"> </w:t>
      </w:r>
      <w:r w:rsidRPr="009F1730">
        <w:rPr>
          <w:b/>
          <w:bCs/>
        </w:rPr>
        <w:t>A minimum of 10% ma</w:t>
      </w:r>
      <w:r w:rsidR="006D5EEA" w:rsidRPr="009F1730">
        <w:rPr>
          <w:b/>
          <w:bCs/>
        </w:rPr>
        <w:t>tch-funding</w:t>
      </w:r>
      <w:r w:rsidR="006D5EEA">
        <w:t xml:space="preserve"> </w:t>
      </w:r>
      <w:r>
        <w:t xml:space="preserve">towards the total project costs </w:t>
      </w:r>
      <w:r w:rsidR="006D5EEA">
        <w:t xml:space="preserve">is </w:t>
      </w:r>
      <w:r>
        <w:t>required and</w:t>
      </w:r>
      <w:r w:rsidR="00A23F1D">
        <w:t xml:space="preserve"> the level of match</w:t>
      </w:r>
      <w:r>
        <w:t xml:space="preserve"> is </w:t>
      </w:r>
      <w:r w:rsidR="00D34377">
        <w:t xml:space="preserve">scored </w:t>
      </w:r>
      <w:r>
        <w:t>as part of the appraisal process</w:t>
      </w:r>
      <w:r w:rsidR="00D34377">
        <w:t xml:space="preserve"> (see 7.0)</w:t>
      </w:r>
      <w:r>
        <w:t xml:space="preserve">. We will accept match funding in the </w:t>
      </w:r>
      <w:r>
        <w:lastRenderedPageBreak/>
        <w:t xml:space="preserve">form of </w:t>
      </w:r>
      <w:r w:rsidR="00D1608D">
        <w:t xml:space="preserve">direct </w:t>
      </w:r>
      <w:r>
        <w:t>applicant contribution or other sources such as alternative grant funding, loans etc. and evidence will be required as part of the monitoring and evaluation process</w:t>
      </w:r>
      <w:r w:rsidR="006D5EEA">
        <w:t xml:space="preserve">. We encourage </w:t>
      </w:r>
      <w:r>
        <w:t>applicants</w:t>
      </w:r>
      <w:r w:rsidR="006D5EEA">
        <w:t xml:space="preserve"> to source additional funding contributions</w:t>
      </w:r>
      <w:r>
        <w:t xml:space="preserve"> where possible</w:t>
      </w:r>
      <w:r w:rsidR="006D5EEA">
        <w:t xml:space="preserve"> to </w:t>
      </w:r>
      <w:r w:rsidR="00657FB9">
        <w:t>maximise t</w:t>
      </w:r>
      <w:r w:rsidR="006D5EEA">
        <w:t>he outcomes for local people</w:t>
      </w:r>
      <w:r w:rsidR="00A23F1D">
        <w:t xml:space="preserve"> and places.</w:t>
      </w:r>
    </w:p>
    <w:p w14:paraId="4C019BCE" w14:textId="659FF8F7" w:rsidR="007318AE" w:rsidRDefault="007318AE" w:rsidP="00657FB9">
      <w:pPr>
        <w:spacing w:after="0" w:line="259" w:lineRule="auto"/>
        <w:ind w:left="0" w:firstLine="0"/>
      </w:pPr>
    </w:p>
    <w:p w14:paraId="74C2F8B0" w14:textId="04F07414" w:rsidR="007318AE" w:rsidRDefault="00D34377" w:rsidP="00657FB9">
      <w:pPr>
        <w:numPr>
          <w:ilvl w:val="1"/>
          <w:numId w:val="15"/>
        </w:numPr>
        <w:ind w:left="502"/>
      </w:pPr>
      <w:r>
        <w:t xml:space="preserve">The </w:t>
      </w:r>
      <w:r w:rsidR="00F125F5">
        <w:t xml:space="preserve">majority of </w:t>
      </w:r>
      <w:r w:rsidR="00D1744F">
        <w:t xml:space="preserve">funding </w:t>
      </w:r>
      <w:r w:rsidR="003C452C">
        <w:t>under both the tourism</w:t>
      </w:r>
      <w:r>
        <w:t>/</w:t>
      </w:r>
      <w:r w:rsidR="003C452C">
        <w:t>visitor economy</w:t>
      </w:r>
      <w:r>
        <w:t xml:space="preserve"> and</w:t>
      </w:r>
      <w:r w:rsidR="003C452C">
        <w:t xml:space="preserve"> rural </w:t>
      </w:r>
      <w:proofErr w:type="gramStart"/>
      <w:r w:rsidR="003C452C">
        <w:t>communities</w:t>
      </w:r>
      <w:proofErr w:type="gramEnd"/>
      <w:r w:rsidR="003C452C">
        <w:t xml:space="preserve"> </w:t>
      </w:r>
      <w:r>
        <w:t xml:space="preserve">theme must be awarded as capital. This means it </w:t>
      </w:r>
      <w:r w:rsidR="006D5EEA">
        <w:t xml:space="preserve">can be used to </w:t>
      </w:r>
      <w:r w:rsidR="00657FB9">
        <w:t xml:space="preserve">purchase, </w:t>
      </w:r>
      <w:r>
        <w:t>build,</w:t>
      </w:r>
      <w:r w:rsidR="006D5EEA">
        <w:t xml:space="preserve"> or upgrade physical assets, includin</w:t>
      </w:r>
      <w:r w:rsidR="00657FB9">
        <w:t>g:</w:t>
      </w:r>
    </w:p>
    <w:p w14:paraId="73B092B8" w14:textId="76AD7667" w:rsidR="007318AE" w:rsidRDefault="006D5EEA" w:rsidP="00657FB9">
      <w:pPr>
        <w:spacing w:after="32" w:line="259" w:lineRule="auto"/>
        <w:ind w:left="1136" w:firstLine="0"/>
      </w:pPr>
      <w:r>
        <w:t xml:space="preserve"> </w:t>
      </w:r>
    </w:p>
    <w:p w14:paraId="1EAB9FDE" w14:textId="4ADE9B35" w:rsidR="007318AE" w:rsidRDefault="00D34377">
      <w:pPr>
        <w:numPr>
          <w:ilvl w:val="0"/>
          <w:numId w:val="1"/>
        </w:numPr>
        <w:ind w:hanging="286"/>
      </w:pPr>
      <w:r>
        <w:t>b</w:t>
      </w:r>
      <w:r w:rsidR="006D5EEA">
        <w:t xml:space="preserve">uilding and construction costs. </w:t>
      </w:r>
    </w:p>
    <w:p w14:paraId="3920C10B" w14:textId="501EC38F" w:rsidR="007318AE" w:rsidRDefault="00D34377">
      <w:pPr>
        <w:numPr>
          <w:ilvl w:val="0"/>
          <w:numId w:val="1"/>
        </w:numPr>
        <w:ind w:hanging="286"/>
      </w:pPr>
      <w:r>
        <w:t>p</w:t>
      </w:r>
      <w:r w:rsidR="006D5EEA">
        <w:t xml:space="preserve">rofessional fees associated with building and construction. </w:t>
      </w:r>
    </w:p>
    <w:p w14:paraId="389AA215" w14:textId="2A5DA500" w:rsidR="007318AE" w:rsidRDefault="00D34377">
      <w:pPr>
        <w:numPr>
          <w:ilvl w:val="0"/>
          <w:numId w:val="1"/>
        </w:numPr>
        <w:ind w:hanging="286"/>
      </w:pPr>
      <w:r>
        <w:t>purchasing p</w:t>
      </w:r>
      <w:r w:rsidR="006D5EEA">
        <w:t xml:space="preserve">lant, </w:t>
      </w:r>
      <w:proofErr w:type="gramStart"/>
      <w:r w:rsidR="006D5EEA">
        <w:t>machinery</w:t>
      </w:r>
      <w:proofErr w:type="gramEnd"/>
      <w:r w:rsidR="006D5EEA">
        <w:t xml:space="preserve"> and equipment (excluding vehicles for personal use)</w:t>
      </w:r>
      <w:r>
        <w:t>.</w:t>
      </w:r>
    </w:p>
    <w:p w14:paraId="1F48C65D" w14:textId="77777777" w:rsidR="007318AE" w:rsidRDefault="006D5EEA">
      <w:pPr>
        <w:spacing w:after="19" w:line="259" w:lineRule="auto"/>
        <w:ind w:left="0" w:firstLine="0"/>
      </w:pPr>
      <w:r>
        <w:t xml:space="preserve"> </w:t>
      </w:r>
    </w:p>
    <w:p w14:paraId="45EEA33E" w14:textId="01A6C851" w:rsidR="007318AE" w:rsidRPr="009F1730" w:rsidRDefault="006D5EEA">
      <w:pPr>
        <w:ind w:left="-5"/>
        <w:rPr>
          <w:b/>
          <w:bCs/>
        </w:rPr>
      </w:pPr>
      <w:r>
        <w:t xml:space="preserve">4.4 </w:t>
      </w:r>
      <w:r w:rsidRPr="009F1730">
        <w:rPr>
          <w:b/>
          <w:bCs/>
        </w:rPr>
        <w:t xml:space="preserve">The following costs are considered ineligible and must not be included in applications: </w:t>
      </w:r>
    </w:p>
    <w:p w14:paraId="6EF969F9" w14:textId="77777777" w:rsidR="007318AE" w:rsidRDefault="006D5EEA">
      <w:pPr>
        <w:spacing w:after="0" w:line="259" w:lineRule="auto"/>
        <w:ind w:left="0" w:firstLine="0"/>
      </w:pPr>
      <w:r>
        <w:rPr>
          <w:b/>
        </w:rPr>
        <w:t xml:space="preserve"> </w:t>
      </w:r>
    </w:p>
    <w:p w14:paraId="7163573C" w14:textId="77777777" w:rsidR="007318AE" w:rsidRDefault="006D5EEA">
      <w:pPr>
        <w:numPr>
          <w:ilvl w:val="0"/>
          <w:numId w:val="1"/>
        </w:numPr>
        <w:spacing w:after="82"/>
        <w:ind w:hanging="286"/>
      </w:pPr>
      <w:r>
        <w:t xml:space="preserve">paid for lobbying, entertaining, </w:t>
      </w:r>
      <w:proofErr w:type="gramStart"/>
      <w:r>
        <w:t>petitioning</w:t>
      </w:r>
      <w:proofErr w:type="gramEnd"/>
      <w:r>
        <w:t xml:space="preserve"> or challenging decisions, which means using the Fund to lobby (via an external firm or in-house staff) in order to undertake activities intended to influence or attempt to influence Parliament, government or political activity including the receipt of UKSPF funding; or attempting to influence legislative or regulatory action. </w:t>
      </w:r>
    </w:p>
    <w:p w14:paraId="0B169AA7" w14:textId="77777777" w:rsidR="007318AE" w:rsidRDefault="006D5EEA">
      <w:pPr>
        <w:numPr>
          <w:ilvl w:val="0"/>
          <w:numId w:val="1"/>
        </w:numPr>
        <w:spacing w:after="39"/>
        <w:ind w:hanging="286"/>
      </w:pPr>
      <w:r>
        <w:t xml:space="preserve">payments for activities of a party political or exclusively religious nature. </w:t>
      </w:r>
    </w:p>
    <w:p w14:paraId="7D37A3E6" w14:textId="77777777" w:rsidR="007318AE" w:rsidRDefault="006D5EEA">
      <w:pPr>
        <w:numPr>
          <w:ilvl w:val="0"/>
          <w:numId w:val="1"/>
        </w:numPr>
        <w:spacing w:after="39"/>
        <w:ind w:hanging="286"/>
      </w:pPr>
      <w:r>
        <w:t xml:space="preserve">VAT reclaimable from HMRC </w:t>
      </w:r>
    </w:p>
    <w:p w14:paraId="5A97A756" w14:textId="77777777" w:rsidR="007318AE" w:rsidRDefault="006D5EEA">
      <w:pPr>
        <w:numPr>
          <w:ilvl w:val="0"/>
          <w:numId w:val="1"/>
        </w:numPr>
        <w:spacing w:after="36"/>
        <w:ind w:hanging="286"/>
      </w:pPr>
      <w:r>
        <w:t xml:space="preserve">gifts, or payments for gifts or donations. </w:t>
      </w:r>
    </w:p>
    <w:p w14:paraId="06FB86F5" w14:textId="77777777" w:rsidR="007318AE" w:rsidRDefault="006D5EEA">
      <w:pPr>
        <w:numPr>
          <w:ilvl w:val="0"/>
          <w:numId w:val="1"/>
        </w:numPr>
        <w:spacing w:after="38"/>
        <w:ind w:hanging="286"/>
      </w:pPr>
      <w:r>
        <w:t xml:space="preserve">statutory fines, criminal </w:t>
      </w:r>
      <w:proofErr w:type="gramStart"/>
      <w:r>
        <w:t>fines</w:t>
      </w:r>
      <w:proofErr w:type="gramEnd"/>
      <w:r>
        <w:t xml:space="preserve"> or penalties. </w:t>
      </w:r>
    </w:p>
    <w:p w14:paraId="7A750A04" w14:textId="23571B8A" w:rsidR="007318AE" w:rsidRDefault="006D5EEA">
      <w:pPr>
        <w:numPr>
          <w:ilvl w:val="0"/>
          <w:numId w:val="1"/>
        </w:numPr>
        <w:spacing w:after="82"/>
        <w:ind w:hanging="286"/>
      </w:pPr>
      <w:r>
        <w:t xml:space="preserve">payments for works or activities which the lead local authority, project deliverer, end beneficiary, or any member of their partnership has a statutory duty to undertake, or that are fully funded by other sources. </w:t>
      </w:r>
    </w:p>
    <w:p w14:paraId="5FC83F85" w14:textId="01205A1D" w:rsidR="003C452C" w:rsidRDefault="00D1608D">
      <w:pPr>
        <w:numPr>
          <w:ilvl w:val="0"/>
          <w:numId w:val="1"/>
        </w:numPr>
        <w:spacing w:after="82"/>
        <w:ind w:hanging="286"/>
      </w:pPr>
      <w:r w:rsidRPr="00D1608D">
        <w:rPr>
          <w:b/>
          <w:bCs/>
          <w:vertAlign w:val="superscript"/>
        </w:rPr>
        <w:t>1</w:t>
      </w:r>
      <w:r w:rsidR="00D34377">
        <w:rPr>
          <w:b/>
          <w:bCs/>
        </w:rPr>
        <w:t>m</w:t>
      </w:r>
      <w:r w:rsidR="003C452C" w:rsidRPr="00D1608D">
        <w:rPr>
          <w:b/>
          <w:bCs/>
        </w:rPr>
        <w:t>aintenance and minor repairs, projects must demonstrate additionality and offer</w:t>
      </w:r>
      <w:r w:rsidR="00A23F1D" w:rsidRPr="00D1608D">
        <w:rPr>
          <w:b/>
          <w:bCs/>
        </w:rPr>
        <w:t xml:space="preserve"> a</w:t>
      </w:r>
      <w:r w:rsidR="003C452C" w:rsidRPr="00D1608D">
        <w:rPr>
          <w:b/>
          <w:bCs/>
        </w:rPr>
        <w:t xml:space="preserve"> new or a significant</w:t>
      </w:r>
      <w:r>
        <w:rPr>
          <w:b/>
          <w:bCs/>
        </w:rPr>
        <w:t>ly improved</w:t>
      </w:r>
      <w:r w:rsidR="003C452C" w:rsidRPr="00D1608D">
        <w:rPr>
          <w:b/>
          <w:bCs/>
        </w:rPr>
        <w:t xml:space="preserve"> service </w:t>
      </w:r>
      <w:r>
        <w:rPr>
          <w:b/>
          <w:bCs/>
        </w:rPr>
        <w:t xml:space="preserve">or product. </w:t>
      </w:r>
    </w:p>
    <w:p w14:paraId="770E3150" w14:textId="77777777" w:rsidR="007318AE" w:rsidRDefault="006D5EEA">
      <w:pPr>
        <w:numPr>
          <w:ilvl w:val="0"/>
          <w:numId w:val="1"/>
        </w:numPr>
        <w:spacing w:after="42"/>
        <w:ind w:hanging="286"/>
      </w:pPr>
      <w:r>
        <w:t xml:space="preserve">contingencies and contingent liabilities. </w:t>
      </w:r>
    </w:p>
    <w:p w14:paraId="7686BF9F" w14:textId="77777777" w:rsidR="007318AE" w:rsidRDefault="006D5EEA">
      <w:pPr>
        <w:numPr>
          <w:ilvl w:val="0"/>
          <w:numId w:val="1"/>
        </w:numPr>
        <w:spacing w:after="36"/>
        <w:ind w:hanging="286"/>
      </w:pPr>
      <w:r>
        <w:t xml:space="preserve">dividends. </w:t>
      </w:r>
    </w:p>
    <w:p w14:paraId="2A7236D1" w14:textId="77777777" w:rsidR="007318AE" w:rsidRDefault="006D5EEA">
      <w:pPr>
        <w:numPr>
          <w:ilvl w:val="0"/>
          <w:numId w:val="1"/>
        </w:numPr>
        <w:spacing w:after="82"/>
        <w:ind w:hanging="286"/>
      </w:pPr>
      <w:r>
        <w:t xml:space="preserve">bad debts, costs resulting from the deferral of payments to creditors, or winding up a company. </w:t>
      </w:r>
    </w:p>
    <w:p w14:paraId="7AADB3BC" w14:textId="77777777" w:rsidR="007318AE" w:rsidRDefault="006D5EEA">
      <w:pPr>
        <w:numPr>
          <w:ilvl w:val="0"/>
          <w:numId w:val="1"/>
        </w:numPr>
        <w:spacing w:after="36"/>
        <w:ind w:hanging="286"/>
      </w:pPr>
      <w:r>
        <w:t xml:space="preserve">expenses in respect of litigation, unfair </w:t>
      </w:r>
      <w:proofErr w:type="gramStart"/>
      <w:r>
        <w:t>dismissal</w:t>
      </w:r>
      <w:proofErr w:type="gramEnd"/>
      <w:r>
        <w:t xml:space="preserve"> or other compensation. </w:t>
      </w:r>
    </w:p>
    <w:p w14:paraId="74D51BE5" w14:textId="77777777" w:rsidR="007318AE" w:rsidRDefault="006D5EEA">
      <w:pPr>
        <w:numPr>
          <w:ilvl w:val="0"/>
          <w:numId w:val="1"/>
        </w:numPr>
        <w:spacing w:after="79"/>
        <w:ind w:hanging="286"/>
      </w:pPr>
      <w:r>
        <w:t xml:space="preserve">costs incurred by individuals in setting up and contributing towards private pension schemes. </w:t>
      </w:r>
    </w:p>
    <w:p w14:paraId="5CFAD75F" w14:textId="61CE370C" w:rsidR="00F40AC0" w:rsidRDefault="00D34377" w:rsidP="00F40AC0">
      <w:pPr>
        <w:numPr>
          <w:ilvl w:val="0"/>
          <w:numId w:val="1"/>
        </w:numPr>
        <w:spacing w:after="67"/>
        <w:ind w:hanging="286"/>
      </w:pPr>
      <w:r>
        <w:t>v</w:t>
      </w:r>
      <w:r w:rsidR="00657FB9">
        <w:t>ehicles for personal use</w:t>
      </w:r>
      <w:r w:rsidR="003C452C">
        <w:t>.</w:t>
      </w:r>
    </w:p>
    <w:p w14:paraId="3C178CEC" w14:textId="072081A5" w:rsidR="003C452C" w:rsidRDefault="00D34377" w:rsidP="00F40AC0">
      <w:pPr>
        <w:numPr>
          <w:ilvl w:val="0"/>
          <w:numId w:val="1"/>
        </w:numPr>
        <w:spacing w:after="67"/>
        <w:ind w:hanging="286"/>
      </w:pPr>
      <w:r>
        <w:t>r</w:t>
      </w:r>
      <w:r w:rsidR="003C452C">
        <w:t>etrospective payments (we will not fund elements of a project that have already been completed prior to application and award)</w:t>
      </w:r>
      <w:r w:rsidR="00A23F1D">
        <w:t>.</w:t>
      </w:r>
    </w:p>
    <w:p w14:paraId="341B30E4" w14:textId="77777777" w:rsidR="007318AE" w:rsidRDefault="006D5EEA">
      <w:pPr>
        <w:spacing w:after="50" w:line="259" w:lineRule="auto"/>
        <w:ind w:left="1496" w:firstLine="0"/>
      </w:pPr>
      <w:r>
        <w:t xml:space="preserve"> </w:t>
      </w:r>
    </w:p>
    <w:p w14:paraId="122F6D1A" w14:textId="65E69B75" w:rsidR="007318AE" w:rsidRDefault="006D5EEA" w:rsidP="009F1730">
      <w:pPr>
        <w:numPr>
          <w:ilvl w:val="1"/>
          <w:numId w:val="6"/>
        </w:numPr>
        <w:spacing w:after="0" w:line="259" w:lineRule="auto"/>
        <w:ind w:left="567" w:hanging="425"/>
      </w:pPr>
      <w:r>
        <w:rPr>
          <w:b/>
          <w:u w:val="single" w:color="000000"/>
        </w:rPr>
        <w:t xml:space="preserve">What are the funding </w:t>
      </w:r>
      <w:r w:rsidR="0082304A">
        <w:rPr>
          <w:b/>
          <w:u w:val="single" w:color="000000"/>
        </w:rPr>
        <w:t>requirements</w:t>
      </w:r>
      <w:r>
        <w:rPr>
          <w:b/>
          <w:u w:val="single" w:color="000000"/>
        </w:rPr>
        <w:t>?</w:t>
      </w:r>
      <w:r>
        <w:rPr>
          <w:b/>
        </w:rPr>
        <w:t xml:space="preserve"> </w:t>
      </w:r>
    </w:p>
    <w:p w14:paraId="17BFE84A" w14:textId="69780408" w:rsidR="003C452C" w:rsidRDefault="006D5EEA" w:rsidP="009F1730">
      <w:pPr>
        <w:spacing w:after="79" w:line="259" w:lineRule="auto"/>
        <w:ind w:left="567" w:hanging="425"/>
      </w:pPr>
      <w:r>
        <w:rPr>
          <w:b/>
        </w:rPr>
        <w:t xml:space="preserve"> </w:t>
      </w:r>
    </w:p>
    <w:p w14:paraId="09982CFB" w14:textId="7393375C" w:rsidR="003C452C" w:rsidRDefault="003C452C" w:rsidP="009F1730">
      <w:pPr>
        <w:spacing w:after="91"/>
        <w:ind w:left="567" w:hanging="425"/>
      </w:pPr>
      <w:r>
        <w:t xml:space="preserve">5.1  </w:t>
      </w:r>
      <w:r w:rsidR="0082304A">
        <w:t xml:space="preserve">Before </w:t>
      </w:r>
      <w:r>
        <w:t>we issue grant funding agreement</w:t>
      </w:r>
      <w:r w:rsidR="0082304A">
        <w:t>s to any successful organisations, applicants must</w:t>
      </w:r>
      <w:r>
        <w:t>:</w:t>
      </w:r>
    </w:p>
    <w:p w14:paraId="619B91F7" w14:textId="32E61790" w:rsidR="003C452C" w:rsidRDefault="00D34377" w:rsidP="009F1730">
      <w:pPr>
        <w:numPr>
          <w:ilvl w:val="0"/>
          <w:numId w:val="21"/>
        </w:numPr>
        <w:spacing w:after="91"/>
        <w:ind w:hanging="283"/>
      </w:pPr>
      <w:r>
        <w:t>s</w:t>
      </w:r>
      <w:r w:rsidR="003C452C">
        <w:t xml:space="preserve">upply evidence of </w:t>
      </w:r>
      <w:r>
        <w:t>three</w:t>
      </w:r>
      <w:r w:rsidR="003C452C">
        <w:t xml:space="preserve"> quotes for any goods or services procured over £9,999 and evidence of tender for any services o</w:t>
      </w:r>
      <w:r w:rsidR="0082304A">
        <w:t>ver</w:t>
      </w:r>
      <w:r w:rsidR="003C452C">
        <w:t xml:space="preserve"> £74,999. </w:t>
      </w:r>
      <w:r w:rsidR="0082304A">
        <w:t>Applicants will be asked to provide at least one quote per item at the point of application</w:t>
      </w:r>
      <w:r w:rsidR="00B012D1">
        <w:t>.</w:t>
      </w:r>
    </w:p>
    <w:p w14:paraId="01EC8D6A" w14:textId="1F0F03CE" w:rsidR="003C452C" w:rsidRDefault="00D34377" w:rsidP="009F1730">
      <w:pPr>
        <w:numPr>
          <w:ilvl w:val="0"/>
          <w:numId w:val="21"/>
        </w:numPr>
        <w:spacing w:after="91"/>
        <w:ind w:hanging="283"/>
      </w:pPr>
      <w:r>
        <w:t>s</w:t>
      </w:r>
      <w:r w:rsidR="003C452C">
        <w:t xml:space="preserve">upply evidence of permissions in place to undertake work </w:t>
      </w:r>
      <w:r>
        <w:t xml:space="preserve">e.g., </w:t>
      </w:r>
      <w:r w:rsidR="003C452C">
        <w:t>licences</w:t>
      </w:r>
      <w:r w:rsidR="00D1608D">
        <w:t xml:space="preserve">, </w:t>
      </w:r>
      <w:r w:rsidR="003C452C">
        <w:t>planning permission</w:t>
      </w:r>
      <w:r w:rsidR="00D1608D">
        <w:t xml:space="preserve"> and </w:t>
      </w:r>
      <w:r w:rsidR="003C452C">
        <w:t>land-owner permission if applicable.</w:t>
      </w:r>
    </w:p>
    <w:p w14:paraId="3FDAE716" w14:textId="47DA11C9" w:rsidR="00A23F1D" w:rsidRDefault="00D34377" w:rsidP="009F1730">
      <w:pPr>
        <w:numPr>
          <w:ilvl w:val="0"/>
          <w:numId w:val="21"/>
        </w:numPr>
        <w:spacing w:after="91"/>
        <w:ind w:hanging="283"/>
      </w:pPr>
      <w:r>
        <w:lastRenderedPageBreak/>
        <w:t>p</w:t>
      </w:r>
      <w:r w:rsidR="00A23F1D">
        <w:t>ass all due-diligence checks undertaken</w:t>
      </w:r>
      <w:r>
        <w:t xml:space="preserve"> and determined</w:t>
      </w:r>
      <w:r w:rsidR="00A23F1D">
        <w:t xml:space="preserve"> by the council, including evidence of relevant insurances, </w:t>
      </w:r>
      <w:proofErr w:type="gramStart"/>
      <w:r w:rsidR="00A23F1D">
        <w:t>accounts</w:t>
      </w:r>
      <w:proofErr w:type="gramEnd"/>
      <w:r w:rsidR="00A23F1D">
        <w:t xml:space="preserve"> and policies</w:t>
      </w:r>
      <w:r>
        <w:t>.</w:t>
      </w:r>
    </w:p>
    <w:p w14:paraId="52E78D58" w14:textId="77777777" w:rsidR="007318AE" w:rsidRDefault="006D5EEA" w:rsidP="0082304A">
      <w:pPr>
        <w:spacing w:after="0" w:line="259" w:lineRule="auto"/>
        <w:ind w:left="851" w:hanging="425"/>
      </w:pPr>
      <w:r>
        <w:t xml:space="preserve"> </w:t>
      </w:r>
    </w:p>
    <w:p w14:paraId="2C16CC26" w14:textId="4BC25974" w:rsidR="003C452C" w:rsidRDefault="0082304A" w:rsidP="009F1730">
      <w:pPr>
        <w:pStyle w:val="ListParagraph"/>
        <w:numPr>
          <w:ilvl w:val="1"/>
          <w:numId w:val="20"/>
        </w:numPr>
        <w:ind w:left="567" w:hanging="425"/>
      </w:pPr>
      <w:r>
        <w:t xml:space="preserve">Applicants </w:t>
      </w:r>
      <w:r w:rsidR="006D5EEA">
        <w:t xml:space="preserve">must ensure that any </w:t>
      </w:r>
      <w:r w:rsidR="003C452C">
        <w:t>funding request</w:t>
      </w:r>
      <w:r w:rsidR="006D5EEA">
        <w:t xml:space="preserve"> is compliant with the </w:t>
      </w:r>
      <w:hyperlink r:id="rId34">
        <w:r w:rsidR="006D5EEA" w:rsidRPr="0082304A">
          <w:rPr>
            <w:u w:val="single" w:color="000000"/>
          </w:rPr>
          <w:t>UK</w:t>
        </w:r>
      </w:hyperlink>
      <w:hyperlink r:id="rId35">
        <w:r w:rsidR="006D5EEA" w:rsidRPr="00D34377">
          <w:rPr>
            <w:u w:val="single"/>
          </w:rPr>
          <w:t xml:space="preserve"> </w:t>
        </w:r>
      </w:hyperlink>
      <w:hyperlink r:id="rId36">
        <w:r w:rsidR="006D5EEA" w:rsidRPr="00D34377">
          <w:rPr>
            <w:u w:val="single"/>
          </w:rPr>
          <w:t>Subsidy</w:t>
        </w:r>
      </w:hyperlink>
      <w:hyperlink r:id="rId37">
        <w:r w:rsidR="006D5EEA" w:rsidRPr="0082304A">
          <w:rPr>
            <w:u w:val="single" w:color="000000"/>
          </w:rPr>
          <w:t xml:space="preserve"> </w:t>
        </w:r>
      </w:hyperlink>
      <w:hyperlink r:id="rId38">
        <w:r w:rsidR="006D5EEA" w:rsidRPr="0082304A">
          <w:rPr>
            <w:u w:val="single" w:color="000000"/>
          </w:rPr>
          <w:t>Control</w:t>
        </w:r>
      </w:hyperlink>
      <w:hyperlink r:id="rId39">
        <w:r w:rsidR="006D5EEA" w:rsidRPr="0082304A">
          <w:rPr>
            <w:u w:val="single" w:color="000000"/>
          </w:rPr>
          <w:t xml:space="preserve"> </w:t>
        </w:r>
      </w:hyperlink>
      <w:hyperlink r:id="rId40">
        <w:r w:rsidR="006D5EEA" w:rsidRPr="0082304A">
          <w:rPr>
            <w:u w:val="single" w:color="000000"/>
          </w:rPr>
          <w:t>regime</w:t>
        </w:r>
      </w:hyperlink>
      <w:hyperlink r:id="rId41">
        <w:r w:rsidR="006D5EEA">
          <w:t xml:space="preserve"> </w:t>
        </w:r>
      </w:hyperlink>
      <w:r w:rsidR="006D5EEA">
        <w:t>and will be asked to demonstrate this within the application form. Applicants will be asked to declare whether they, or any businesses they are formally linked with ha</w:t>
      </w:r>
      <w:r>
        <w:t>s</w:t>
      </w:r>
      <w:r w:rsidR="006D5EEA">
        <w:t xml:space="preserve"> received funding from EU or other public sources </w:t>
      </w:r>
      <w:r w:rsidR="003C452C">
        <w:t xml:space="preserve">within the last </w:t>
      </w:r>
      <w:r w:rsidR="00D34377">
        <w:t>five</w:t>
      </w:r>
      <w:r w:rsidR="003C452C">
        <w:t xml:space="preserve"> years </w:t>
      </w:r>
      <w:r>
        <w:t>upon application.</w:t>
      </w:r>
    </w:p>
    <w:p w14:paraId="5811B618" w14:textId="77777777" w:rsidR="003C452C" w:rsidRDefault="003C452C" w:rsidP="009F1730">
      <w:pPr>
        <w:pStyle w:val="ListParagraph"/>
        <w:ind w:left="567" w:hanging="425"/>
      </w:pPr>
    </w:p>
    <w:p w14:paraId="57481430" w14:textId="4D0B1939" w:rsidR="0082304A" w:rsidRDefault="0082304A" w:rsidP="009F1730">
      <w:pPr>
        <w:pStyle w:val="ListParagraph"/>
        <w:numPr>
          <w:ilvl w:val="1"/>
          <w:numId w:val="20"/>
        </w:numPr>
        <w:ind w:left="567" w:hanging="425"/>
      </w:pPr>
      <w:r>
        <w:t>Applicants</w:t>
      </w:r>
      <w:r w:rsidR="006D5EEA">
        <w:t xml:space="preserve"> must ensure the project is completed </w:t>
      </w:r>
      <w:r w:rsidR="00D1608D">
        <w:t xml:space="preserve">and monies spent </w:t>
      </w:r>
      <w:r w:rsidR="006D5EEA">
        <w:t xml:space="preserve">by </w:t>
      </w:r>
      <w:r>
        <w:t xml:space="preserve">no later than </w:t>
      </w:r>
      <w:r w:rsidR="006D5EEA">
        <w:t>31</w:t>
      </w:r>
      <w:r w:rsidR="006D5EEA" w:rsidRPr="003C452C">
        <w:rPr>
          <w:vertAlign w:val="superscript"/>
        </w:rPr>
        <w:t>st</w:t>
      </w:r>
      <w:r w:rsidR="006D5EEA">
        <w:t xml:space="preserve"> March 202</w:t>
      </w:r>
      <w:r w:rsidR="00F40AC0">
        <w:t>5</w:t>
      </w:r>
      <w:r w:rsidR="006D5EEA">
        <w:t xml:space="preserve"> and have all arrangements in place to undertake the project </w:t>
      </w:r>
      <w:r>
        <w:t>with</w:t>
      </w:r>
      <w:r w:rsidR="006D5EEA">
        <w:t xml:space="preserve">in the timescales. This includes prior engagement with our planning department to ensure compliance </w:t>
      </w:r>
      <w:r w:rsidR="00D34377">
        <w:t xml:space="preserve">with </w:t>
      </w:r>
      <w:r w:rsidR="006D5EEA">
        <w:t xml:space="preserve">potential planning requirements. The council may ask for evidence of permissions before a grant agreement is issued, however this is the sole responsibility of the applicant, and will not form part of the application process.  </w:t>
      </w:r>
    </w:p>
    <w:p w14:paraId="033B4816" w14:textId="77777777" w:rsidR="0082304A" w:rsidRDefault="0082304A" w:rsidP="009F1730">
      <w:pPr>
        <w:pStyle w:val="ListParagraph"/>
        <w:ind w:left="567" w:hanging="425"/>
      </w:pPr>
    </w:p>
    <w:p w14:paraId="57F8534A" w14:textId="50262CFF" w:rsidR="0082304A" w:rsidRDefault="006D5EEA" w:rsidP="009F1730">
      <w:pPr>
        <w:pStyle w:val="ListParagraph"/>
        <w:numPr>
          <w:ilvl w:val="1"/>
          <w:numId w:val="20"/>
        </w:numPr>
        <w:ind w:left="567" w:hanging="425"/>
      </w:pPr>
      <w:r>
        <w:t xml:space="preserve">If </w:t>
      </w:r>
      <w:r w:rsidR="0082304A">
        <w:t>the applicant is</w:t>
      </w:r>
      <w:r>
        <w:t xml:space="preserve"> not the </w:t>
      </w:r>
      <w:r w:rsidR="008009E0">
        <w:t>l</w:t>
      </w:r>
      <w:r>
        <w:t>and/</w:t>
      </w:r>
      <w:r w:rsidR="008009E0">
        <w:t>p</w:t>
      </w:r>
      <w:r>
        <w:t xml:space="preserve">roperty </w:t>
      </w:r>
      <w:r w:rsidR="008009E0">
        <w:t>o</w:t>
      </w:r>
      <w:r>
        <w:t xml:space="preserve">wner of the premises where capital works </w:t>
      </w:r>
      <w:r w:rsidR="0082304A">
        <w:t>may</w:t>
      </w:r>
      <w:r>
        <w:t xml:space="preserve"> be undertaken, we will require written permission from the </w:t>
      </w:r>
      <w:r w:rsidR="008009E0">
        <w:t>o</w:t>
      </w:r>
      <w:r>
        <w:t>wner to undertake works and evidence of a minimum 5-year lease guarantee from March 31</w:t>
      </w:r>
      <w:r w:rsidRPr="0082304A">
        <w:rPr>
          <w:vertAlign w:val="superscript"/>
        </w:rPr>
        <w:t>st</w:t>
      </w:r>
      <w:proofErr w:type="gramStart"/>
      <w:r>
        <w:t xml:space="preserve"> 2024</w:t>
      </w:r>
      <w:proofErr w:type="gramEnd"/>
      <w:r>
        <w:t xml:space="preserve">.  </w:t>
      </w:r>
    </w:p>
    <w:p w14:paraId="6CA01D7D" w14:textId="77777777" w:rsidR="0082304A" w:rsidRDefault="0082304A" w:rsidP="009F1730">
      <w:pPr>
        <w:pStyle w:val="ListParagraph"/>
        <w:ind w:left="567" w:hanging="425"/>
      </w:pPr>
    </w:p>
    <w:p w14:paraId="39EBBB13" w14:textId="5BB7D009" w:rsidR="0082304A" w:rsidRDefault="003C452C" w:rsidP="009F1730">
      <w:pPr>
        <w:pStyle w:val="ListParagraph"/>
        <w:numPr>
          <w:ilvl w:val="1"/>
          <w:numId w:val="20"/>
        </w:numPr>
        <w:ind w:left="567" w:hanging="425"/>
      </w:pPr>
      <w:r>
        <w:t>Applicants must supply evidence of expenditure and defrayal, before receiving payment of the grant and by no later than 31</w:t>
      </w:r>
      <w:r w:rsidRPr="0082304A">
        <w:rPr>
          <w:vertAlign w:val="superscript"/>
        </w:rPr>
        <w:t>st</w:t>
      </w:r>
      <w:r>
        <w:t xml:space="preserve"> March 2025</w:t>
      </w:r>
      <w:r w:rsidR="0082304A">
        <w:t xml:space="preserve"> in the format determined by the Funder</w:t>
      </w:r>
      <w:r>
        <w:t xml:space="preserve">. In </w:t>
      </w:r>
      <w:r w:rsidR="008009E0">
        <w:t>some individual</w:t>
      </w:r>
      <w:r>
        <w:t xml:space="preserve"> circumstances, funding </w:t>
      </w:r>
      <w:r w:rsidRPr="0082304A">
        <w:rPr>
          <w:i/>
        </w:rPr>
        <w:t>may</w:t>
      </w:r>
      <w:r>
        <w:t xml:space="preserve"> be paid in advance, subject to application and eligibility.</w:t>
      </w:r>
    </w:p>
    <w:p w14:paraId="6E71BFD8" w14:textId="77777777" w:rsidR="00F40AC0" w:rsidRDefault="00F40AC0" w:rsidP="009F1730">
      <w:pPr>
        <w:spacing w:after="91"/>
        <w:ind w:left="567" w:hanging="425"/>
      </w:pPr>
    </w:p>
    <w:p w14:paraId="5D873721" w14:textId="275AD5E4" w:rsidR="00F40AC0" w:rsidRPr="00F40AC0" w:rsidRDefault="006D5EEA" w:rsidP="009F1730">
      <w:pPr>
        <w:pStyle w:val="ListParagraph"/>
        <w:numPr>
          <w:ilvl w:val="0"/>
          <w:numId w:val="16"/>
        </w:numPr>
        <w:spacing w:after="0" w:line="259" w:lineRule="auto"/>
        <w:ind w:left="567" w:hanging="425"/>
      </w:pPr>
      <w:r w:rsidRPr="00F40AC0">
        <w:rPr>
          <w:b/>
        </w:rPr>
        <w:t xml:space="preserve"> </w:t>
      </w:r>
      <w:r w:rsidR="00F40AC0" w:rsidRPr="00F40AC0">
        <w:rPr>
          <w:b/>
          <w:u w:val="single" w:color="000000"/>
        </w:rPr>
        <w:t>How can organisations apply?</w:t>
      </w:r>
      <w:r w:rsidR="00F40AC0" w:rsidRPr="00F40AC0">
        <w:rPr>
          <w:b/>
        </w:rPr>
        <w:t xml:space="preserve"> </w:t>
      </w:r>
    </w:p>
    <w:p w14:paraId="62CC4AB1" w14:textId="77777777" w:rsidR="00F40AC0" w:rsidRPr="00F40AC0" w:rsidRDefault="00F40AC0" w:rsidP="009F1730">
      <w:pPr>
        <w:spacing w:after="0" w:line="259" w:lineRule="auto"/>
        <w:ind w:left="284" w:hanging="142"/>
      </w:pPr>
    </w:p>
    <w:p w14:paraId="7F9CD30A" w14:textId="4419C7C6" w:rsidR="00F40AC0" w:rsidRDefault="006D5EEA" w:rsidP="009F1730">
      <w:pPr>
        <w:pStyle w:val="ListParagraph"/>
        <w:numPr>
          <w:ilvl w:val="1"/>
          <w:numId w:val="16"/>
        </w:numPr>
        <w:spacing w:after="0" w:line="259" w:lineRule="auto"/>
        <w:ind w:left="284" w:hanging="142"/>
      </w:pPr>
      <w:r>
        <w:t>The grant funding</w:t>
      </w:r>
      <w:r w:rsidR="0082304A">
        <w:t xml:space="preserve"> application</w:t>
      </w:r>
      <w:r>
        <w:t xml:space="preserve"> process will involve several stages, as detailed below: </w:t>
      </w:r>
    </w:p>
    <w:p w14:paraId="1A88727D" w14:textId="77777777" w:rsidR="00F40AC0" w:rsidRDefault="00F40AC0" w:rsidP="009F1730">
      <w:pPr>
        <w:ind w:left="567" w:hanging="425"/>
      </w:pPr>
    </w:p>
    <w:tbl>
      <w:tblPr>
        <w:tblStyle w:val="TableGrid"/>
        <w:tblW w:w="9212" w:type="dxa"/>
        <w:tblInd w:w="279" w:type="dxa"/>
        <w:tblCellMar>
          <w:top w:w="22" w:type="dxa"/>
          <w:left w:w="107" w:type="dxa"/>
        </w:tblCellMar>
        <w:tblLook w:val="04A0" w:firstRow="1" w:lastRow="0" w:firstColumn="1" w:lastColumn="0" w:noHBand="0" w:noVBand="1"/>
      </w:tblPr>
      <w:tblGrid>
        <w:gridCol w:w="1984"/>
        <w:gridCol w:w="5812"/>
        <w:gridCol w:w="1416"/>
      </w:tblGrid>
      <w:tr w:rsidR="00E722B7" w14:paraId="28CADB0F" w14:textId="77777777" w:rsidTr="009F1730">
        <w:trPr>
          <w:trHeight w:val="444"/>
        </w:trPr>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F8B908" w14:textId="77777777" w:rsidR="00E722B7" w:rsidRPr="009F1730" w:rsidRDefault="00E722B7">
            <w:pPr>
              <w:spacing w:after="0" w:line="259" w:lineRule="auto"/>
              <w:ind w:left="0" w:right="110" w:firstLine="0"/>
              <w:jc w:val="center"/>
            </w:pPr>
            <w:r w:rsidRPr="009F1730">
              <w:rPr>
                <w:b/>
              </w:rPr>
              <w:t xml:space="preserve">Stage </w:t>
            </w:r>
          </w:p>
        </w:tc>
        <w:tc>
          <w:tcPr>
            <w:tcW w:w="58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98B4D" w14:textId="169A6869" w:rsidR="00E722B7" w:rsidRPr="009F1730" w:rsidRDefault="00E722B7">
            <w:pPr>
              <w:spacing w:after="0" w:line="259" w:lineRule="auto"/>
              <w:ind w:left="0" w:right="110" w:firstLine="0"/>
              <w:jc w:val="center"/>
              <w:rPr>
                <w:b/>
                <w:bCs/>
              </w:rPr>
            </w:pPr>
            <w:r w:rsidRPr="009F1730">
              <w:rPr>
                <w:b/>
                <w:bCs/>
              </w:rPr>
              <w:t>Summary</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81CE0E" w14:textId="70BF39DB" w:rsidR="00E722B7" w:rsidRPr="009F1730" w:rsidRDefault="009F1730">
            <w:pPr>
              <w:spacing w:after="0" w:line="259" w:lineRule="auto"/>
              <w:ind w:left="0" w:right="107" w:firstLine="0"/>
              <w:jc w:val="center"/>
            </w:pPr>
            <w:r w:rsidRPr="009F1730">
              <w:rPr>
                <w:b/>
              </w:rPr>
              <w:t xml:space="preserve">Key </w:t>
            </w:r>
            <w:r w:rsidR="00E722B7" w:rsidRPr="009F1730">
              <w:rPr>
                <w:b/>
              </w:rPr>
              <w:t>Date</w:t>
            </w:r>
            <w:r w:rsidRPr="009F1730">
              <w:rPr>
                <w:b/>
              </w:rPr>
              <w:t>s</w:t>
            </w:r>
            <w:r w:rsidR="00E722B7" w:rsidRPr="009F1730">
              <w:rPr>
                <w:b/>
              </w:rPr>
              <w:t xml:space="preserve"> </w:t>
            </w:r>
          </w:p>
        </w:tc>
      </w:tr>
      <w:tr w:rsidR="00E722B7" w14:paraId="7D91A699" w14:textId="77777777" w:rsidTr="009F1730">
        <w:trPr>
          <w:trHeight w:val="611"/>
        </w:trPr>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F0E22A" w14:textId="178F130B" w:rsidR="00D1608D" w:rsidRDefault="00D1608D">
            <w:pPr>
              <w:spacing w:after="0" w:line="259" w:lineRule="auto"/>
              <w:ind w:left="0" w:firstLine="0"/>
              <w:rPr>
                <w:b/>
                <w:bCs/>
              </w:rPr>
            </w:pPr>
            <w:r>
              <w:rPr>
                <w:b/>
                <w:bCs/>
              </w:rPr>
              <w:t>Stage 1:</w:t>
            </w:r>
          </w:p>
          <w:p w14:paraId="66DA5719" w14:textId="77777777" w:rsidR="00A513D1" w:rsidRDefault="00A513D1">
            <w:pPr>
              <w:spacing w:after="0" w:line="259" w:lineRule="auto"/>
              <w:ind w:left="0" w:firstLine="0"/>
              <w:rPr>
                <w:b/>
                <w:bCs/>
              </w:rPr>
            </w:pPr>
          </w:p>
          <w:p w14:paraId="795041D7" w14:textId="30040998" w:rsidR="00E722B7" w:rsidRPr="00A23F1D" w:rsidRDefault="00E722B7">
            <w:pPr>
              <w:spacing w:after="0" w:line="259" w:lineRule="auto"/>
              <w:ind w:left="0" w:firstLine="0"/>
              <w:rPr>
                <w:b/>
                <w:bCs/>
              </w:rPr>
            </w:pPr>
            <w:r w:rsidRPr="00A23F1D">
              <w:rPr>
                <w:b/>
                <w:bCs/>
              </w:rPr>
              <w:t>Expression of Interest</w:t>
            </w:r>
          </w:p>
        </w:tc>
        <w:tc>
          <w:tcPr>
            <w:tcW w:w="5812" w:type="dxa"/>
            <w:tcBorders>
              <w:top w:val="single" w:sz="4" w:space="0" w:color="000000"/>
              <w:left w:val="single" w:sz="4" w:space="0" w:color="000000"/>
              <w:bottom w:val="single" w:sz="4" w:space="0" w:color="000000"/>
              <w:right w:val="single" w:sz="4" w:space="0" w:color="000000"/>
            </w:tcBorders>
          </w:tcPr>
          <w:p w14:paraId="00F351CF" w14:textId="1AEB8181" w:rsidR="00E722B7" w:rsidRDefault="00E722B7" w:rsidP="00D12DBA">
            <w:pPr>
              <w:spacing w:after="55" w:line="259" w:lineRule="auto"/>
            </w:pPr>
            <w:r w:rsidRPr="00AD7F49">
              <w:t xml:space="preserve">Applicants must submit an Expression of Interest (EOI) to </w:t>
            </w:r>
            <w:hyperlink r:id="rId42" w:history="1">
              <w:r w:rsidRPr="00AD7F49">
                <w:rPr>
                  <w:rStyle w:val="Hyperlink"/>
                </w:rPr>
                <w:t>UKSPF@newark-sherwooddc.gov.uk</w:t>
              </w:r>
            </w:hyperlink>
            <w:r w:rsidRPr="00AD7F49">
              <w:t xml:space="preserve"> by no later than 5pm </w:t>
            </w:r>
            <w:r w:rsidR="00C675A0">
              <w:t>Monday 15</w:t>
            </w:r>
            <w:r w:rsidR="00C675A0" w:rsidRPr="00C675A0">
              <w:rPr>
                <w:vertAlign w:val="superscript"/>
              </w:rPr>
              <w:t>th</w:t>
            </w:r>
            <w:r w:rsidR="00C675A0">
              <w:t xml:space="preserve"> </w:t>
            </w:r>
            <w:r w:rsidRPr="00AD7F49">
              <w:t>January 2024.</w:t>
            </w:r>
            <w:r w:rsidR="00F92EBF">
              <w:t xml:space="preserve"> </w:t>
            </w:r>
            <w:r w:rsidRPr="00AD7F49">
              <w:t>This should be</w:t>
            </w:r>
            <w:r>
              <w:t xml:space="preserve"> sent</w:t>
            </w:r>
            <w:r w:rsidRPr="00AD7F49">
              <w:t xml:space="preserve"> in writing</w:t>
            </w:r>
            <w:r w:rsidR="00E926E6">
              <w:t xml:space="preserve"> using the template attached to </w:t>
            </w:r>
            <w:r w:rsidR="00D12DBA">
              <w:t>this guidance document as an appendix.</w:t>
            </w:r>
          </w:p>
          <w:p w14:paraId="6E44B0E0" w14:textId="1DFE8A41" w:rsidR="00E722B7" w:rsidRDefault="00E722B7" w:rsidP="00E722B7">
            <w:pPr>
              <w:spacing w:after="55" w:line="259" w:lineRule="auto"/>
            </w:pPr>
            <w:r>
              <w:t>The EOI</w:t>
            </w:r>
            <w:r w:rsidR="0082304A">
              <w:t xml:space="preserve"> is not scored</w:t>
            </w:r>
            <w:r w:rsidR="00A23F1D">
              <w:t xml:space="preserve"> and provides no guarantee of successful application.</w:t>
            </w:r>
            <w:r w:rsidR="0082304A">
              <w:t xml:space="preserve"> </w:t>
            </w:r>
            <w:r w:rsidR="00A23F1D">
              <w:t xml:space="preserve">This process helps </w:t>
            </w:r>
            <w:r>
              <w:t xml:space="preserve">to filter out any projects that do not meet the funding criteria to prevent organisations from spending time submitting an application that </w:t>
            </w:r>
            <w:r w:rsidR="00AF65DD">
              <w:t xml:space="preserve">is </w:t>
            </w:r>
            <w:r w:rsidR="00CC4153">
              <w:t>unlikely to be successful</w:t>
            </w:r>
            <w:r>
              <w:t>.</w:t>
            </w:r>
            <w:r w:rsidR="00A23F1D">
              <w:t xml:space="preserve"> We will respond to you with any queries we may have</w:t>
            </w:r>
            <w:r w:rsidR="00D1608D">
              <w:t xml:space="preserve"> after receiving your EOI</w:t>
            </w:r>
            <w:r w:rsidR="00A23F1D">
              <w:t>.</w:t>
            </w:r>
          </w:p>
        </w:tc>
        <w:tc>
          <w:tcPr>
            <w:tcW w:w="1416" w:type="dxa"/>
            <w:tcBorders>
              <w:top w:val="single" w:sz="4" w:space="0" w:color="000000"/>
              <w:left w:val="single" w:sz="4" w:space="0" w:color="000000"/>
              <w:bottom w:val="single" w:sz="4" w:space="0" w:color="000000"/>
              <w:right w:val="single" w:sz="4" w:space="0" w:color="000000"/>
            </w:tcBorders>
          </w:tcPr>
          <w:p w14:paraId="5C427BBB" w14:textId="55D56A12" w:rsidR="00E722B7" w:rsidRDefault="00F92EBF" w:rsidP="0082304A">
            <w:pPr>
              <w:spacing w:after="0" w:line="259" w:lineRule="auto"/>
              <w:ind w:left="0" w:firstLine="0"/>
            </w:pPr>
            <w:r>
              <w:t>Deadline</w:t>
            </w:r>
            <w:r w:rsidR="00534BDE">
              <w:t>: 5pm</w:t>
            </w:r>
            <w:r w:rsidR="00C675A0">
              <w:t xml:space="preserve"> Monday </w:t>
            </w:r>
            <w:r w:rsidR="00E722B7">
              <w:t>1</w:t>
            </w:r>
            <w:r w:rsidR="00795095">
              <w:t>5</w:t>
            </w:r>
            <w:r w:rsidR="00E722B7" w:rsidRPr="00F40AC0">
              <w:rPr>
                <w:vertAlign w:val="superscript"/>
              </w:rPr>
              <w:t>th</w:t>
            </w:r>
            <w:r w:rsidR="00E722B7">
              <w:t xml:space="preserve"> January 2024</w:t>
            </w:r>
          </w:p>
        </w:tc>
      </w:tr>
      <w:tr w:rsidR="00702A74" w14:paraId="6497214C" w14:textId="77777777" w:rsidTr="009F1730">
        <w:trPr>
          <w:trHeight w:val="611"/>
        </w:trPr>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EB91A2" w14:textId="54D3A9EC" w:rsidR="00D1608D" w:rsidRDefault="00D1608D">
            <w:pPr>
              <w:spacing w:after="0" w:line="259" w:lineRule="auto"/>
              <w:ind w:left="0" w:firstLine="0"/>
              <w:rPr>
                <w:b/>
                <w:bCs/>
              </w:rPr>
            </w:pPr>
            <w:r>
              <w:rPr>
                <w:b/>
                <w:bCs/>
              </w:rPr>
              <w:t>Stage 2:</w:t>
            </w:r>
          </w:p>
          <w:p w14:paraId="572A947B" w14:textId="77777777" w:rsidR="00A513D1" w:rsidRDefault="00A513D1">
            <w:pPr>
              <w:spacing w:after="0" w:line="259" w:lineRule="auto"/>
              <w:ind w:left="0" w:firstLine="0"/>
              <w:rPr>
                <w:b/>
                <w:bCs/>
              </w:rPr>
            </w:pPr>
          </w:p>
          <w:p w14:paraId="2295AE41" w14:textId="1B7801D9" w:rsidR="00702A74" w:rsidRPr="00702A74" w:rsidRDefault="00702A74">
            <w:pPr>
              <w:spacing w:after="0" w:line="259" w:lineRule="auto"/>
              <w:ind w:left="0" w:firstLine="0"/>
              <w:rPr>
                <w:b/>
                <w:bCs/>
              </w:rPr>
            </w:pPr>
            <w:r w:rsidRPr="00702A74">
              <w:rPr>
                <w:b/>
                <w:bCs/>
              </w:rPr>
              <w:t>Formal Application</w:t>
            </w:r>
          </w:p>
        </w:tc>
        <w:tc>
          <w:tcPr>
            <w:tcW w:w="5812" w:type="dxa"/>
            <w:tcBorders>
              <w:top w:val="single" w:sz="4" w:space="0" w:color="000000"/>
              <w:left w:val="single" w:sz="4" w:space="0" w:color="000000"/>
              <w:bottom w:val="single" w:sz="4" w:space="0" w:color="000000"/>
              <w:right w:val="single" w:sz="4" w:space="0" w:color="000000"/>
            </w:tcBorders>
          </w:tcPr>
          <w:p w14:paraId="31E7B50F" w14:textId="50F7AD95" w:rsidR="0082304A" w:rsidRDefault="00702A74">
            <w:pPr>
              <w:spacing w:after="0" w:line="259" w:lineRule="auto"/>
              <w:ind w:left="0" w:firstLine="0"/>
            </w:pPr>
            <w:r>
              <w:t xml:space="preserve">If your project is </w:t>
            </w:r>
            <w:r w:rsidR="00C675A0">
              <w:t xml:space="preserve">determined to be suitable for </w:t>
            </w:r>
            <w:r w:rsidR="00D1608D">
              <w:t>application</w:t>
            </w:r>
            <w:r>
              <w:t xml:space="preserve"> following the EOI stage, you will be invited to submit a formal application</w:t>
            </w:r>
            <w:r w:rsidR="00534BDE">
              <w:t xml:space="preserve"> to us by</w:t>
            </w:r>
            <w:r w:rsidR="0082304A">
              <w:t xml:space="preserve"> 5pm Friday 1</w:t>
            </w:r>
            <w:r w:rsidR="00F92EBF">
              <w:t>6</w:t>
            </w:r>
            <w:r w:rsidR="0082304A" w:rsidRPr="0082304A">
              <w:rPr>
                <w:vertAlign w:val="superscript"/>
              </w:rPr>
              <w:t>th</w:t>
            </w:r>
            <w:r w:rsidR="0082304A">
              <w:t xml:space="preserve"> February</w:t>
            </w:r>
            <w:r w:rsidR="00534BDE">
              <w:t xml:space="preserve"> 202</w:t>
            </w:r>
            <w:r w:rsidR="00C62C0C">
              <w:t>4</w:t>
            </w:r>
            <w:r w:rsidR="0082304A">
              <w:t>.</w:t>
            </w:r>
          </w:p>
          <w:p w14:paraId="73BC09E3" w14:textId="77777777" w:rsidR="0082304A" w:rsidRDefault="0082304A">
            <w:pPr>
              <w:spacing w:after="0" w:line="259" w:lineRule="auto"/>
              <w:ind w:left="0" w:firstLine="0"/>
              <w:rPr>
                <w:b/>
                <w:bCs/>
              </w:rPr>
            </w:pPr>
          </w:p>
          <w:p w14:paraId="3D110510" w14:textId="4F7A08AD" w:rsidR="00D1608D" w:rsidRDefault="00702A74">
            <w:pPr>
              <w:spacing w:after="0" w:line="259" w:lineRule="auto"/>
              <w:ind w:left="0" w:firstLine="0"/>
              <w:rPr>
                <w:b/>
                <w:bCs/>
              </w:rPr>
            </w:pPr>
            <w:r w:rsidRPr="00F125F5">
              <w:rPr>
                <w:b/>
                <w:bCs/>
              </w:rPr>
              <w:t xml:space="preserve">Organisations will not be able to apply </w:t>
            </w:r>
            <w:r w:rsidR="00D1608D">
              <w:rPr>
                <w:b/>
                <w:bCs/>
              </w:rPr>
              <w:t xml:space="preserve">for funding </w:t>
            </w:r>
            <w:r w:rsidRPr="00F125F5">
              <w:rPr>
                <w:b/>
                <w:bCs/>
              </w:rPr>
              <w:t xml:space="preserve">without </w:t>
            </w:r>
            <w:r w:rsidR="00F92EBF">
              <w:rPr>
                <w:b/>
                <w:bCs/>
              </w:rPr>
              <w:t xml:space="preserve">submitting an </w:t>
            </w:r>
            <w:r w:rsidRPr="00F125F5">
              <w:rPr>
                <w:b/>
                <w:bCs/>
              </w:rPr>
              <w:t>EOI by 5pm 1</w:t>
            </w:r>
            <w:r w:rsidR="00795095">
              <w:rPr>
                <w:b/>
                <w:bCs/>
              </w:rPr>
              <w:t>5</w:t>
            </w:r>
            <w:r w:rsidRPr="00F125F5">
              <w:rPr>
                <w:b/>
                <w:bCs/>
              </w:rPr>
              <w:t>th January 2024.</w:t>
            </w:r>
            <w:r w:rsidRPr="00AD7F49">
              <w:rPr>
                <w:b/>
                <w:bCs/>
              </w:rPr>
              <w:t xml:space="preserve"> </w:t>
            </w:r>
          </w:p>
          <w:p w14:paraId="202AF4E6" w14:textId="77777777" w:rsidR="00A513D1" w:rsidRDefault="00A513D1">
            <w:pPr>
              <w:spacing w:after="0" w:line="259" w:lineRule="auto"/>
              <w:ind w:left="0" w:firstLine="0"/>
            </w:pPr>
          </w:p>
          <w:p w14:paraId="376AA1EB" w14:textId="4504927E" w:rsidR="00702A74" w:rsidRDefault="008009E0">
            <w:pPr>
              <w:spacing w:after="0" w:line="259" w:lineRule="auto"/>
              <w:ind w:left="0" w:firstLine="0"/>
            </w:pPr>
            <w:r>
              <w:t>If</w:t>
            </w:r>
            <w:r w:rsidR="00CC4153">
              <w:t xml:space="preserve"> invited to</w:t>
            </w:r>
            <w:r>
              <w:t xml:space="preserve"> submit a full application</w:t>
            </w:r>
            <w:r w:rsidR="00702A74" w:rsidRPr="00E722B7">
              <w:t xml:space="preserve">, </w:t>
            </w:r>
            <w:r>
              <w:t>you</w:t>
            </w:r>
            <w:r w:rsidR="00702A74" w:rsidRPr="00E722B7">
              <w:t xml:space="preserve"> will be required to provide the following documents</w:t>
            </w:r>
            <w:r w:rsidR="00702A74">
              <w:t>:</w:t>
            </w:r>
          </w:p>
          <w:p w14:paraId="2D9BFE7C" w14:textId="77777777" w:rsidR="00D1608D" w:rsidRPr="00D1608D" w:rsidRDefault="00D1608D">
            <w:pPr>
              <w:spacing w:after="0" w:line="259" w:lineRule="auto"/>
              <w:ind w:left="0" w:firstLine="0"/>
              <w:rPr>
                <w:b/>
                <w:bCs/>
              </w:rPr>
            </w:pPr>
          </w:p>
          <w:p w14:paraId="055E3238" w14:textId="7AC18C5B" w:rsidR="00702A74" w:rsidRDefault="008009E0" w:rsidP="00A513D1">
            <w:pPr>
              <w:pStyle w:val="ListParagraph"/>
              <w:numPr>
                <w:ilvl w:val="0"/>
                <w:numId w:val="27"/>
              </w:numPr>
            </w:pPr>
            <w:r>
              <w:t>e</w:t>
            </w:r>
            <w:r w:rsidR="00702A74">
              <w:t>vidence of planning permission (if applicable)</w:t>
            </w:r>
          </w:p>
          <w:p w14:paraId="09B935E9" w14:textId="73EC2161" w:rsidR="00702A74" w:rsidRDefault="008009E0" w:rsidP="00A513D1">
            <w:pPr>
              <w:pStyle w:val="ListParagraph"/>
              <w:numPr>
                <w:ilvl w:val="0"/>
                <w:numId w:val="27"/>
              </w:numPr>
            </w:pPr>
            <w:r>
              <w:t>q</w:t>
            </w:r>
            <w:r w:rsidR="00702A74">
              <w:t>uotes</w:t>
            </w:r>
            <w:r>
              <w:t xml:space="preserve"> </w:t>
            </w:r>
          </w:p>
          <w:p w14:paraId="2155DB87" w14:textId="7F3231A8" w:rsidR="00702A74" w:rsidRDefault="008009E0" w:rsidP="00A513D1">
            <w:pPr>
              <w:pStyle w:val="ListParagraph"/>
              <w:numPr>
                <w:ilvl w:val="0"/>
                <w:numId w:val="27"/>
              </w:numPr>
            </w:pPr>
            <w:r>
              <w:t>c</w:t>
            </w:r>
            <w:r w:rsidR="00702A74">
              <w:t xml:space="preserve">ompleted application </w:t>
            </w:r>
            <w:proofErr w:type="gramStart"/>
            <w:r w:rsidR="00702A74">
              <w:t>form</w:t>
            </w:r>
            <w:proofErr w:type="gramEnd"/>
          </w:p>
          <w:p w14:paraId="78E69A3D" w14:textId="77777777" w:rsidR="008009E0" w:rsidRDefault="008009E0" w:rsidP="008009E0">
            <w:pPr>
              <w:pStyle w:val="ListParagraph"/>
              <w:numPr>
                <w:ilvl w:val="0"/>
                <w:numId w:val="27"/>
              </w:numPr>
            </w:pPr>
            <w:r>
              <w:t>e</w:t>
            </w:r>
            <w:r w:rsidR="00702A74">
              <w:t>vidence of financial standing</w:t>
            </w:r>
          </w:p>
          <w:p w14:paraId="09429E7A" w14:textId="0723865F" w:rsidR="00534BDE" w:rsidRDefault="008009E0" w:rsidP="008009E0">
            <w:pPr>
              <w:pStyle w:val="ListParagraph"/>
              <w:numPr>
                <w:ilvl w:val="0"/>
                <w:numId w:val="27"/>
              </w:numPr>
            </w:pPr>
            <w:r>
              <w:t>a</w:t>
            </w:r>
            <w:r w:rsidR="00534BDE">
              <w:t>ny other supporting documents (plans/drawings etc.)</w:t>
            </w:r>
          </w:p>
        </w:tc>
        <w:tc>
          <w:tcPr>
            <w:tcW w:w="1416" w:type="dxa"/>
            <w:tcBorders>
              <w:top w:val="single" w:sz="4" w:space="0" w:color="000000"/>
              <w:left w:val="single" w:sz="4" w:space="0" w:color="000000"/>
              <w:bottom w:val="single" w:sz="4" w:space="0" w:color="000000"/>
              <w:right w:val="single" w:sz="4" w:space="0" w:color="000000"/>
            </w:tcBorders>
          </w:tcPr>
          <w:p w14:paraId="5BC6617F" w14:textId="16281038" w:rsidR="00702A74" w:rsidRDefault="00F92EBF" w:rsidP="00F92EBF">
            <w:pPr>
              <w:spacing w:after="0" w:line="259" w:lineRule="auto"/>
              <w:ind w:left="0" w:firstLine="0"/>
            </w:pPr>
            <w:r>
              <w:lastRenderedPageBreak/>
              <w:t>Deadline</w:t>
            </w:r>
            <w:r w:rsidR="00534BDE">
              <w:t>: 5pm</w:t>
            </w:r>
            <w:r w:rsidR="00702A74">
              <w:t xml:space="preserve"> </w:t>
            </w:r>
            <w:r w:rsidR="0082304A">
              <w:t>16</w:t>
            </w:r>
            <w:r w:rsidR="00702A74" w:rsidRPr="00F40AC0">
              <w:rPr>
                <w:vertAlign w:val="superscript"/>
              </w:rPr>
              <w:t>th</w:t>
            </w:r>
            <w:r w:rsidR="00702A74">
              <w:t xml:space="preserve"> February 2024</w:t>
            </w:r>
          </w:p>
        </w:tc>
      </w:tr>
      <w:tr w:rsidR="00702A74" w14:paraId="039FDCC6" w14:textId="77777777" w:rsidTr="009F1730">
        <w:trPr>
          <w:trHeight w:val="607"/>
        </w:trPr>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BA963" w14:textId="107B71CB" w:rsidR="00D1608D" w:rsidRDefault="00D1608D">
            <w:pPr>
              <w:spacing w:after="0" w:line="259" w:lineRule="auto"/>
              <w:ind w:left="0" w:firstLine="0"/>
              <w:rPr>
                <w:b/>
                <w:bCs/>
              </w:rPr>
            </w:pPr>
            <w:r>
              <w:rPr>
                <w:b/>
                <w:bCs/>
              </w:rPr>
              <w:t>Stage 3:</w:t>
            </w:r>
          </w:p>
          <w:p w14:paraId="6AC942C6" w14:textId="77777777" w:rsidR="00A513D1" w:rsidRDefault="00A513D1">
            <w:pPr>
              <w:spacing w:after="0" w:line="259" w:lineRule="auto"/>
              <w:ind w:left="0" w:firstLine="0"/>
              <w:rPr>
                <w:b/>
                <w:bCs/>
              </w:rPr>
            </w:pPr>
          </w:p>
          <w:p w14:paraId="327583B4" w14:textId="66E43D97" w:rsidR="00702A74" w:rsidRPr="00F40AC0" w:rsidRDefault="00702A74">
            <w:pPr>
              <w:spacing w:after="0" w:line="259" w:lineRule="auto"/>
              <w:ind w:left="0" w:firstLine="0"/>
              <w:rPr>
                <w:b/>
                <w:bCs/>
              </w:rPr>
            </w:pPr>
            <w:r w:rsidRPr="00F40AC0">
              <w:rPr>
                <w:b/>
                <w:bCs/>
              </w:rPr>
              <w:t xml:space="preserve">Appraisal and </w:t>
            </w:r>
            <w:r>
              <w:rPr>
                <w:b/>
                <w:bCs/>
              </w:rPr>
              <w:t>A</w:t>
            </w:r>
            <w:r w:rsidRPr="00F40AC0">
              <w:rPr>
                <w:b/>
                <w:bCs/>
              </w:rPr>
              <w:t xml:space="preserve">ward process </w:t>
            </w:r>
          </w:p>
        </w:tc>
        <w:tc>
          <w:tcPr>
            <w:tcW w:w="5812" w:type="dxa"/>
            <w:tcBorders>
              <w:top w:val="single" w:sz="4" w:space="0" w:color="000000"/>
              <w:left w:val="single" w:sz="4" w:space="0" w:color="000000"/>
              <w:bottom w:val="single" w:sz="4" w:space="0" w:color="000000"/>
              <w:right w:val="single" w:sz="4" w:space="0" w:color="000000"/>
            </w:tcBorders>
          </w:tcPr>
          <w:p w14:paraId="5566D497" w14:textId="4C8CB2FC" w:rsidR="00534BDE" w:rsidRDefault="00702A74">
            <w:pPr>
              <w:spacing w:after="0" w:line="259" w:lineRule="auto"/>
              <w:ind w:left="0" w:firstLine="0"/>
            </w:pPr>
            <w:r>
              <w:t xml:space="preserve">All applications will be assessed by an independent panel of </w:t>
            </w:r>
            <w:r w:rsidR="008009E0">
              <w:t>o</w:t>
            </w:r>
            <w:r>
              <w:t xml:space="preserve">fficers </w:t>
            </w:r>
            <w:r w:rsidR="00534BDE">
              <w:t>after</w:t>
            </w:r>
            <w:r>
              <w:t xml:space="preserve"> the application deadline</w:t>
            </w:r>
            <w:r w:rsidR="00534BDE">
              <w:t xml:space="preserve"> of Friday 16</w:t>
            </w:r>
            <w:r w:rsidR="00534BDE" w:rsidRPr="00534BDE">
              <w:rPr>
                <w:vertAlign w:val="superscript"/>
              </w:rPr>
              <w:t>th</w:t>
            </w:r>
            <w:r w:rsidR="00534BDE">
              <w:t xml:space="preserve"> February</w:t>
            </w:r>
            <w:r w:rsidR="009F1730">
              <w:t xml:space="preserve"> 2024</w:t>
            </w:r>
            <w:r w:rsidR="00534BDE">
              <w:t xml:space="preserve">. </w:t>
            </w:r>
          </w:p>
          <w:p w14:paraId="5E0B8AFC" w14:textId="77777777" w:rsidR="00534BDE" w:rsidRDefault="00534BDE">
            <w:pPr>
              <w:spacing w:after="0" w:line="259" w:lineRule="auto"/>
              <w:ind w:left="0" w:firstLine="0"/>
            </w:pPr>
          </w:p>
          <w:p w14:paraId="14E54A7C" w14:textId="73F304E9" w:rsidR="00702A74" w:rsidRPr="00F40AC0" w:rsidRDefault="00534BDE">
            <w:pPr>
              <w:spacing w:after="0" w:line="259" w:lineRule="auto"/>
              <w:ind w:left="0" w:firstLine="0"/>
              <w:rPr>
                <w:b/>
                <w:bCs/>
              </w:rPr>
            </w:pPr>
            <w:r>
              <w:t>A</w:t>
            </w:r>
            <w:r w:rsidR="00702A74">
              <w:t xml:space="preserve"> formal update will </w:t>
            </w:r>
            <w:proofErr w:type="gramStart"/>
            <w:r w:rsidR="00702A74">
              <w:t>provided</w:t>
            </w:r>
            <w:proofErr w:type="gramEnd"/>
            <w:r w:rsidR="00702A74">
              <w:t xml:space="preserve"> </w:t>
            </w:r>
            <w:r>
              <w:t xml:space="preserve">by email </w:t>
            </w:r>
            <w:r w:rsidR="00702A74">
              <w:t xml:space="preserve">afterwards to confirm the outcome of your </w:t>
            </w:r>
            <w:r w:rsidR="009F1730">
              <w:t xml:space="preserve">application. </w:t>
            </w:r>
          </w:p>
        </w:tc>
        <w:tc>
          <w:tcPr>
            <w:tcW w:w="1416" w:type="dxa"/>
            <w:tcBorders>
              <w:top w:val="single" w:sz="4" w:space="0" w:color="000000"/>
              <w:left w:val="single" w:sz="4" w:space="0" w:color="000000"/>
              <w:bottom w:val="single" w:sz="4" w:space="0" w:color="000000"/>
              <w:right w:val="single" w:sz="4" w:space="0" w:color="000000"/>
            </w:tcBorders>
          </w:tcPr>
          <w:p w14:paraId="3B6743C6" w14:textId="23274FE8" w:rsidR="00702A74" w:rsidRDefault="00534BDE" w:rsidP="00E722B7">
            <w:pPr>
              <w:spacing w:after="0" w:line="259" w:lineRule="auto"/>
              <w:ind w:left="1" w:firstLine="0"/>
            </w:pPr>
            <w:r>
              <w:t>16</w:t>
            </w:r>
            <w:r w:rsidRPr="00534BDE">
              <w:rPr>
                <w:vertAlign w:val="superscript"/>
              </w:rPr>
              <w:t>th</w:t>
            </w:r>
            <w:r>
              <w:t xml:space="preserve"> February to 13</w:t>
            </w:r>
            <w:r w:rsidRPr="00534BDE">
              <w:rPr>
                <w:vertAlign w:val="superscript"/>
              </w:rPr>
              <w:t>th</w:t>
            </w:r>
            <w:r>
              <w:t xml:space="preserve"> March 2024</w:t>
            </w:r>
          </w:p>
        </w:tc>
      </w:tr>
      <w:tr w:rsidR="00702A74" w14:paraId="7F257372" w14:textId="77777777" w:rsidTr="009F1730">
        <w:trPr>
          <w:trHeight w:val="607"/>
        </w:trPr>
        <w:tc>
          <w:tcPr>
            <w:tcW w:w="77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3CEB2E" w14:textId="4613A874" w:rsidR="00D1608D" w:rsidRDefault="00D1608D">
            <w:pPr>
              <w:spacing w:after="0" w:line="259" w:lineRule="auto"/>
              <w:ind w:left="0" w:firstLine="0"/>
              <w:rPr>
                <w:b/>
                <w:bCs/>
              </w:rPr>
            </w:pPr>
            <w:r>
              <w:rPr>
                <w:b/>
                <w:bCs/>
              </w:rPr>
              <w:t>Stage 4:</w:t>
            </w:r>
          </w:p>
          <w:p w14:paraId="7B325429" w14:textId="77777777" w:rsidR="00A513D1" w:rsidRDefault="00A513D1">
            <w:pPr>
              <w:spacing w:after="0" w:line="259" w:lineRule="auto"/>
              <w:ind w:left="0" w:firstLine="0"/>
              <w:rPr>
                <w:b/>
                <w:bCs/>
              </w:rPr>
            </w:pPr>
          </w:p>
          <w:p w14:paraId="26E5433D" w14:textId="12047659" w:rsidR="00702A74" w:rsidRPr="00F40AC0" w:rsidRDefault="00702A74">
            <w:pPr>
              <w:spacing w:after="0" w:line="259" w:lineRule="auto"/>
              <w:ind w:left="0" w:firstLine="0"/>
              <w:rPr>
                <w:b/>
                <w:bCs/>
              </w:rPr>
            </w:pPr>
            <w:r>
              <w:rPr>
                <w:b/>
                <w:bCs/>
              </w:rPr>
              <w:t xml:space="preserve">Grant Funding Period </w:t>
            </w:r>
          </w:p>
        </w:tc>
        <w:tc>
          <w:tcPr>
            <w:tcW w:w="1416" w:type="dxa"/>
            <w:tcBorders>
              <w:top w:val="single" w:sz="4" w:space="0" w:color="000000"/>
              <w:left w:val="single" w:sz="4" w:space="0" w:color="000000"/>
              <w:bottom w:val="single" w:sz="4" w:space="0" w:color="000000"/>
              <w:right w:val="single" w:sz="4" w:space="0" w:color="000000"/>
            </w:tcBorders>
          </w:tcPr>
          <w:p w14:paraId="4451548D" w14:textId="7FC9C2A6" w:rsidR="00702A74" w:rsidRDefault="00702A74">
            <w:pPr>
              <w:spacing w:after="0" w:line="259" w:lineRule="auto"/>
              <w:ind w:left="1" w:firstLine="0"/>
            </w:pPr>
            <w:r>
              <w:t>1</w:t>
            </w:r>
            <w:r w:rsidRPr="00F40AC0">
              <w:rPr>
                <w:vertAlign w:val="superscript"/>
              </w:rPr>
              <w:t>st</w:t>
            </w:r>
            <w:r>
              <w:t xml:space="preserve"> April 2024 to 31</w:t>
            </w:r>
            <w:r>
              <w:rPr>
                <w:vertAlign w:val="superscript"/>
              </w:rPr>
              <w:t>st</w:t>
            </w:r>
            <w:r>
              <w:t xml:space="preserve"> March 2025</w:t>
            </w:r>
          </w:p>
        </w:tc>
      </w:tr>
    </w:tbl>
    <w:p w14:paraId="6166B616" w14:textId="02C3114D" w:rsidR="00E722B7" w:rsidRDefault="00E722B7" w:rsidP="00A513D1">
      <w:pPr>
        <w:spacing w:after="57" w:line="259" w:lineRule="auto"/>
        <w:ind w:left="0" w:firstLine="0"/>
      </w:pPr>
    </w:p>
    <w:p w14:paraId="5F3ACAFA" w14:textId="201B8DA8" w:rsidR="007318AE" w:rsidRDefault="007318AE" w:rsidP="00E722B7">
      <w:pPr>
        <w:ind w:left="2026" w:firstLine="0"/>
      </w:pPr>
    </w:p>
    <w:p w14:paraId="58669A3E" w14:textId="3AA02BFC" w:rsidR="007318AE" w:rsidRDefault="006D5EEA" w:rsidP="009F1730">
      <w:pPr>
        <w:pStyle w:val="ListParagraph"/>
        <w:numPr>
          <w:ilvl w:val="0"/>
          <w:numId w:val="30"/>
        </w:numPr>
        <w:spacing w:after="0" w:line="259" w:lineRule="auto"/>
      </w:pPr>
      <w:r w:rsidRPr="009F1730">
        <w:rPr>
          <w:b/>
          <w:u w:val="single" w:color="000000"/>
        </w:rPr>
        <w:t>How will applications be assessed?</w:t>
      </w:r>
      <w:r w:rsidRPr="009F1730">
        <w:rPr>
          <w:b/>
        </w:rPr>
        <w:t xml:space="preserve"> </w:t>
      </w:r>
    </w:p>
    <w:p w14:paraId="0FAF061F" w14:textId="759ACE8A" w:rsidR="007318AE" w:rsidRDefault="006D5EEA" w:rsidP="009F1730">
      <w:pPr>
        <w:spacing w:after="0" w:line="259" w:lineRule="auto"/>
        <w:ind w:left="567" w:hanging="425"/>
      </w:pPr>
      <w:r>
        <w:t xml:space="preserve"> </w:t>
      </w:r>
    </w:p>
    <w:p w14:paraId="488A9B58" w14:textId="78FF0247" w:rsidR="007318AE" w:rsidRPr="009F1730" w:rsidRDefault="006D5EEA" w:rsidP="009F1730">
      <w:pPr>
        <w:pStyle w:val="ListParagraph"/>
        <w:numPr>
          <w:ilvl w:val="1"/>
          <w:numId w:val="30"/>
        </w:numPr>
        <w:ind w:left="709" w:hanging="425"/>
      </w:pPr>
      <w:r w:rsidRPr="009F1730">
        <w:t xml:space="preserve">The table below provides an overview of how we will score and assess </w:t>
      </w:r>
      <w:r w:rsidR="00CC4153">
        <w:t xml:space="preserve">formal </w:t>
      </w:r>
      <w:r w:rsidRPr="009F1730">
        <w:t>applications out of a total score of 100. Each element will be scored</w:t>
      </w:r>
      <w:r w:rsidR="00675CB8">
        <w:t xml:space="preserve"> out of 5</w:t>
      </w:r>
      <w:r w:rsidRPr="009F1730">
        <w:t xml:space="preserve"> based on the quality and content of the answers provided in the application form, with consideration of how well the applicant demonstrates the points below. </w:t>
      </w:r>
      <w:r w:rsidR="00CC4153">
        <w:t>This applies to full applications only, and expressions of interests are not scored.</w:t>
      </w:r>
      <w:r w:rsidR="00A513D1">
        <w:t xml:space="preserve"> </w:t>
      </w:r>
    </w:p>
    <w:p w14:paraId="0A43ED98" w14:textId="0C724427" w:rsidR="007318AE" w:rsidRDefault="006D5EEA" w:rsidP="009F1730">
      <w:pPr>
        <w:spacing w:after="0" w:line="259" w:lineRule="auto"/>
        <w:ind w:left="709" w:hanging="360"/>
        <w:rPr>
          <w:rFonts w:ascii="Calibri" w:eastAsia="Calibri" w:hAnsi="Calibri" w:cs="Calibri"/>
          <w:sz w:val="20"/>
        </w:rPr>
      </w:pPr>
      <w:r>
        <w:rPr>
          <w:rFonts w:ascii="Calibri" w:eastAsia="Calibri" w:hAnsi="Calibri" w:cs="Calibri"/>
          <w:sz w:val="20"/>
        </w:rPr>
        <w:t xml:space="preserve"> </w:t>
      </w:r>
    </w:p>
    <w:tbl>
      <w:tblPr>
        <w:tblW w:w="9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124"/>
        <w:gridCol w:w="950"/>
        <w:gridCol w:w="1402"/>
      </w:tblGrid>
      <w:tr w:rsidR="00702A74" w:rsidRPr="00F125F5" w14:paraId="0AAD12FC" w14:textId="77777777" w:rsidTr="009F1730">
        <w:trPr>
          <w:trHeight w:val="257"/>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2D70FF0F" w14:textId="77777777" w:rsidR="00702A74" w:rsidRPr="00F125F5" w:rsidRDefault="00702A74" w:rsidP="00702A74">
            <w:pPr>
              <w:suppressAutoHyphens/>
              <w:autoSpaceDN w:val="0"/>
              <w:spacing w:line="23" w:lineRule="atLeast"/>
              <w:jc w:val="center"/>
              <w:textAlignment w:val="baseline"/>
              <w:rPr>
                <w:b/>
                <w:bCs/>
              </w:rPr>
            </w:pPr>
            <w:r w:rsidRPr="00F125F5">
              <w:rPr>
                <w:b/>
                <w:bCs/>
              </w:rPr>
              <w:t xml:space="preserve">Theme  </w:t>
            </w:r>
          </w:p>
        </w:tc>
        <w:tc>
          <w:tcPr>
            <w:tcW w:w="5124" w:type="dxa"/>
            <w:tcBorders>
              <w:top w:val="single" w:sz="4" w:space="0" w:color="auto"/>
              <w:left w:val="single" w:sz="4" w:space="0" w:color="auto"/>
              <w:bottom w:val="single" w:sz="4" w:space="0" w:color="auto"/>
              <w:right w:val="single" w:sz="4" w:space="0" w:color="auto"/>
            </w:tcBorders>
            <w:shd w:val="clear" w:color="auto" w:fill="D9D9D9"/>
            <w:hideMark/>
          </w:tcPr>
          <w:p w14:paraId="62F5BFF5" w14:textId="77777777" w:rsidR="00702A74" w:rsidRPr="00F125F5" w:rsidRDefault="00702A74" w:rsidP="00702A74">
            <w:pPr>
              <w:suppressAutoHyphens/>
              <w:autoSpaceDN w:val="0"/>
              <w:spacing w:line="23" w:lineRule="atLeast"/>
              <w:jc w:val="center"/>
              <w:textAlignment w:val="baseline"/>
              <w:rPr>
                <w:b/>
                <w:bCs/>
              </w:rPr>
            </w:pPr>
            <w:r w:rsidRPr="00F125F5">
              <w:rPr>
                <w:b/>
                <w:bCs/>
              </w:rPr>
              <w:t xml:space="preserve">Component  </w:t>
            </w:r>
          </w:p>
        </w:tc>
        <w:tc>
          <w:tcPr>
            <w:tcW w:w="950" w:type="dxa"/>
            <w:tcBorders>
              <w:top w:val="single" w:sz="4" w:space="0" w:color="auto"/>
              <w:left w:val="single" w:sz="4" w:space="0" w:color="auto"/>
              <w:bottom w:val="single" w:sz="4" w:space="0" w:color="auto"/>
              <w:right w:val="single" w:sz="4" w:space="0" w:color="auto"/>
            </w:tcBorders>
            <w:shd w:val="clear" w:color="auto" w:fill="D9D9D9"/>
            <w:hideMark/>
          </w:tcPr>
          <w:p w14:paraId="08D20E39" w14:textId="77777777" w:rsidR="00702A74" w:rsidRPr="00F125F5" w:rsidRDefault="00702A74" w:rsidP="00702A74">
            <w:pPr>
              <w:suppressAutoHyphens/>
              <w:autoSpaceDN w:val="0"/>
              <w:spacing w:line="23" w:lineRule="atLeast"/>
              <w:jc w:val="center"/>
              <w:textAlignment w:val="baseline"/>
              <w:rPr>
                <w:b/>
                <w:bCs/>
              </w:rPr>
            </w:pPr>
            <w:r w:rsidRPr="00F125F5">
              <w:rPr>
                <w:b/>
                <w:bCs/>
              </w:rPr>
              <w:t>Weight</w:t>
            </w:r>
          </w:p>
        </w:tc>
        <w:tc>
          <w:tcPr>
            <w:tcW w:w="1402" w:type="dxa"/>
            <w:tcBorders>
              <w:top w:val="single" w:sz="4" w:space="0" w:color="auto"/>
              <w:left w:val="single" w:sz="4" w:space="0" w:color="auto"/>
              <w:bottom w:val="single" w:sz="4" w:space="0" w:color="auto"/>
              <w:right w:val="single" w:sz="4" w:space="0" w:color="auto"/>
            </w:tcBorders>
            <w:shd w:val="clear" w:color="auto" w:fill="D9D9D9"/>
            <w:hideMark/>
          </w:tcPr>
          <w:p w14:paraId="7D78499D" w14:textId="77777777" w:rsidR="00702A74" w:rsidRPr="00F125F5" w:rsidRDefault="00702A74" w:rsidP="00702A74">
            <w:pPr>
              <w:suppressAutoHyphens/>
              <w:autoSpaceDN w:val="0"/>
              <w:spacing w:line="23" w:lineRule="atLeast"/>
              <w:jc w:val="center"/>
              <w:textAlignment w:val="baseline"/>
              <w:rPr>
                <w:b/>
                <w:bCs/>
              </w:rPr>
            </w:pPr>
            <w:r w:rsidRPr="00F125F5">
              <w:rPr>
                <w:b/>
                <w:bCs/>
              </w:rPr>
              <w:t>Calculation</w:t>
            </w:r>
          </w:p>
        </w:tc>
      </w:tr>
      <w:tr w:rsidR="00702A74" w:rsidRPr="00F125F5" w14:paraId="1D97726E" w14:textId="77777777" w:rsidTr="009F1730">
        <w:trPr>
          <w:trHeight w:val="417"/>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2CBE0645" w14:textId="77777777" w:rsidR="00702A74" w:rsidRPr="00F125F5" w:rsidRDefault="00702A74" w:rsidP="00702A74">
            <w:pPr>
              <w:suppressAutoHyphens/>
              <w:autoSpaceDN w:val="0"/>
              <w:spacing w:line="23" w:lineRule="atLeast"/>
              <w:textAlignment w:val="baseline"/>
              <w:rPr>
                <w:b/>
                <w:bCs/>
              </w:rPr>
            </w:pPr>
            <w:r w:rsidRPr="00F125F5">
              <w:rPr>
                <w:b/>
                <w:bCs/>
              </w:rPr>
              <w:t>Justification of funding</w:t>
            </w:r>
          </w:p>
        </w:tc>
        <w:tc>
          <w:tcPr>
            <w:tcW w:w="5124" w:type="dxa"/>
            <w:tcBorders>
              <w:top w:val="single" w:sz="4" w:space="0" w:color="auto"/>
              <w:left w:val="single" w:sz="4" w:space="0" w:color="auto"/>
              <w:bottom w:val="single" w:sz="4" w:space="0" w:color="auto"/>
              <w:right w:val="single" w:sz="4" w:space="0" w:color="auto"/>
            </w:tcBorders>
            <w:hideMark/>
          </w:tcPr>
          <w:p w14:paraId="11034BCD" w14:textId="77777777" w:rsidR="00702A74" w:rsidRPr="00F125F5" w:rsidRDefault="00702A74" w:rsidP="00702A74">
            <w:pPr>
              <w:suppressAutoHyphens/>
              <w:autoSpaceDN w:val="0"/>
              <w:spacing w:line="23" w:lineRule="atLeast"/>
              <w:textAlignment w:val="baseline"/>
            </w:pPr>
            <w:r w:rsidRPr="00F125F5">
              <w:t xml:space="preserve">The local social, </w:t>
            </w:r>
            <w:proofErr w:type="gramStart"/>
            <w:r w:rsidRPr="00F125F5">
              <w:t>economic</w:t>
            </w:r>
            <w:proofErr w:type="gramEnd"/>
            <w:r w:rsidRPr="00F125F5">
              <w:t xml:space="preserve"> or physical challenges are clearly demonstrated.</w:t>
            </w:r>
          </w:p>
        </w:tc>
        <w:tc>
          <w:tcPr>
            <w:tcW w:w="950" w:type="dxa"/>
            <w:tcBorders>
              <w:top w:val="single" w:sz="4" w:space="0" w:color="auto"/>
              <w:left w:val="single" w:sz="4" w:space="0" w:color="auto"/>
              <w:bottom w:val="single" w:sz="4" w:space="0" w:color="auto"/>
              <w:right w:val="single" w:sz="4" w:space="0" w:color="auto"/>
            </w:tcBorders>
            <w:hideMark/>
          </w:tcPr>
          <w:p w14:paraId="467FBCEE" w14:textId="77777777" w:rsidR="00702A74" w:rsidRPr="00F125F5" w:rsidRDefault="00702A74" w:rsidP="00702A74">
            <w:pPr>
              <w:suppressAutoHyphens/>
              <w:autoSpaceDN w:val="0"/>
              <w:spacing w:line="23" w:lineRule="atLeast"/>
              <w:textAlignment w:val="baseline"/>
            </w:pPr>
            <w:r w:rsidRPr="00F125F5">
              <w:t>20%</w:t>
            </w:r>
          </w:p>
        </w:tc>
        <w:tc>
          <w:tcPr>
            <w:tcW w:w="1402" w:type="dxa"/>
            <w:tcBorders>
              <w:top w:val="single" w:sz="4" w:space="0" w:color="auto"/>
              <w:left w:val="single" w:sz="4" w:space="0" w:color="auto"/>
              <w:bottom w:val="single" w:sz="4" w:space="0" w:color="auto"/>
              <w:right w:val="single" w:sz="4" w:space="0" w:color="auto"/>
            </w:tcBorders>
            <w:hideMark/>
          </w:tcPr>
          <w:p w14:paraId="2D7FDEEA" w14:textId="77777777" w:rsidR="00702A74" w:rsidRPr="00F125F5" w:rsidRDefault="00702A74" w:rsidP="00702A74">
            <w:pPr>
              <w:suppressAutoHyphens/>
              <w:autoSpaceDN w:val="0"/>
              <w:spacing w:line="23" w:lineRule="atLeast"/>
              <w:textAlignment w:val="baseline"/>
            </w:pPr>
            <w:r w:rsidRPr="00F125F5">
              <w:t>Score 0-5 x 4</w:t>
            </w:r>
          </w:p>
        </w:tc>
      </w:tr>
      <w:tr w:rsidR="00702A74" w:rsidRPr="00F125F5" w14:paraId="4B5C4DE2" w14:textId="77777777" w:rsidTr="009F1730">
        <w:trPr>
          <w:trHeight w:val="757"/>
        </w:trPr>
        <w:tc>
          <w:tcPr>
            <w:tcW w:w="198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60D9B02" w14:textId="77777777" w:rsidR="00702A74" w:rsidRPr="00F125F5" w:rsidRDefault="00702A74" w:rsidP="00702A74">
            <w:pPr>
              <w:suppressAutoHyphens/>
              <w:autoSpaceDN w:val="0"/>
              <w:spacing w:line="23" w:lineRule="atLeast"/>
              <w:textAlignment w:val="baseline"/>
              <w:rPr>
                <w:b/>
                <w:bCs/>
              </w:rPr>
            </w:pPr>
            <w:r w:rsidRPr="00F125F5">
              <w:rPr>
                <w:b/>
                <w:bCs/>
              </w:rPr>
              <w:t xml:space="preserve">Strategic Fit </w:t>
            </w:r>
          </w:p>
        </w:tc>
        <w:tc>
          <w:tcPr>
            <w:tcW w:w="5124" w:type="dxa"/>
            <w:tcBorders>
              <w:top w:val="single" w:sz="4" w:space="0" w:color="auto"/>
              <w:left w:val="single" w:sz="4" w:space="0" w:color="auto"/>
              <w:bottom w:val="single" w:sz="4" w:space="0" w:color="auto"/>
              <w:right w:val="single" w:sz="4" w:space="0" w:color="auto"/>
            </w:tcBorders>
            <w:hideMark/>
          </w:tcPr>
          <w:p w14:paraId="63008CA4" w14:textId="1AE72087" w:rsidR="00702A74" w:rsidRPr="00F125F5" w:rsidRDefault="00702A74" w:rsidP="00702A74">
            <w:pPr>
              <w:suppressAutoHyphens/>
              <w:autoSpaceDN w:val="0"/>
              <w:spacing w:line="23" w:lineRule="atLeast"/>
              <w:textAlignment w:val="baseline"/>
            </w:pPr>
            <w:r w:rsidRPr="00F125F5">
              <w:t>The project clearly helps to address the challenges</w:t>
            </w:r>
            <w:r w:rsidR="00534BDE" w:rsidRPr="00F125F5">
              <w:t>/opportunities</w:t>
            </w:r>
            <w:r w:rsidRPr="00F125F5">
              <w:t xml:space="preserve"> identified including demonstration of long-term benefits of investment for the community/economy, with key links to the Economic Growth Strategy/Community Plan objectives. </w:t>
            </w:r>
          </w:p>
        </w:tc>
        <w:tc>
          <w:tcPr>
            <w:tcW w:w="950" w:type="dxa"/>
            <w:tcBorders>
              <w:top w:val="single" w:sz="4" w:space="0" w:color="auto"/>
              <w:left w:val="single" w:sz="4" w:space="0" w:color="auto"/>
              <w:bottom w:val="single" w:sz="4" w:space="0" w:color="auto"/>
              <w:right w:val="single" w:sz="4" w:space="0" w:color="auto"/>
            </w:tcBorders>
            <w:hideMark/>
          </w:tcPr>
          <w:p w14:paraId="27206584" w14:textId="77777777" w:rsidR="00702A74" w:rsidRPr="00F125F5" w:rsidRDefault="00702A74" w:rsidP="00702A74">
            <w:pPr>
              <w:suppressAutoHyphens/>
              <w:autoSpaceDN w:val="0"/>
              <w:spacing w:line="23" w:lineRule="atLeast"/>
              <w:textAlignment w:val="baseline"/>
            </w:pPr>
            <w:r w:rsidRPr="00F125F5">
              <w:t>30%</w:t>
            </w:r>
          </w:p>
        </w:tc>
        <w:tc>
          <w:tcPr>
            <w:tcW w:w="1402" w:type="dxa"/>
            <w:tcBorders>
              <w:top w:val="single" w:sz="4" w:space="0" w:color="auto"/>
              <w:left w:val="single" w:sz="4" w:space="0" w:color="auto"/>
              <w:bottom w:val="single" w:sz="4" w:space="0" w:color="auto"/>
              <w:right w:val="single" w:sz="4" w:space="0" w:color="auto"/>
            </w:tcBorders>
            <w:hideMark/>
          </w:tcPr>
          <w:p w14:paraId="20E34F0C" w14:textId="77777777" w:rsidR="00702A74" w:rsidRPr="00F125F5" w:rsidRDefault="00702A74" w:rsidP="00702A74">
            <w:pPr>
              <w:suppressAutoHyphens/>
              <w:autoSpaceDN w:val="0"/>
              <w:spacing w:line="23" w:lineRule="atLeast"/>
              <w:textAlignment w:val="baseline"/>
            </w:pPr>
            <w:r w:rsidRPr="00F125F5">
              <w:t>Score 0-5 x 6</w:t>
            </w:r>
          </w:p>
        </w:tc>
      </w:tr>
      <w:tr w:rsidR="00702A74" w:rsidRPr="00F125F5" w14:paraId="52B48659" w14:textId="77777777" w:rsidTr="009F1730">
        <w:trPr>
          <w:trHeight w:val="516"/>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2F24BEBB" w14:textId="77777777" w:rsidR="00702A74" w:rsidRPr="00F125F5" w:rsidRDefault="00702A74" w:rsidP="00702A74">
            <w:pPr>
              <w:spacing w:after="0"/>
              <w:rPr>
                <w:b/>
                <w:bCs/>
              </w:rPr>
            </w:pPr>
          </w:p>
        </w:tc>
        <w:tc>
          <w:tcPr>
            <w:tcW w:w="5124" w:type="dxa"/>
            <w:tcBorders>
              <w:top w:val="single" w:sz="4" w:space="0" w:color="auto"/>
              <w:left w:val="single" w:sz="4" w:space="0" w:color="auto"/>
              <w:bottom w:val="single" w:sz="4" w:space="0" w:color="auto"/>
              <w:right w:val="single" w:sz="4" w:space="0" w:color="auto"/>
            </w:tcBorders>
            <w:hideMark/>
          </w:tcPr>
          <w:p w14:paraId="2FB5C76E" w14:textId="77777777" w:rsidR="00702A74" w:rsidRPr="00F125F5" w:rsidRDefault="00702A74" w:rsidP="00702A74">
            <w:pPr>
              <w:suppressAutoHyphens/>
              <w:autoSpaceDN w:val="0"/>
              <w:spacing w:line="23" w:lineRule="atLeast"/>
              <w:textAlignment w:val="baseline"/>
            </w:pPr>
            <w:r w:rsidRPr="00F125F5">
              <w:t xml:space="preserve">Environmental sustainability is considered as a key aspect of the project/environmental implications addressed where possible. </w:t>
            </w:r>
          </w:p>
        </w:tc>
        <w:tc>
          <w:tcPr>
            <w:tcW w:w="950" w:type="dxa"/>
            <w:tcBorders>
              <w:top w:val="single" w:sz="4" w:space="0" w:color="auto"/>
              <w:left w:val="single" w:sz="4" w:space="0" w:color="auto"/>
              <w:bottom w:val="single" w:sz="4" w:space="0" w:color="auto"/>
              <w:right w:val="single" w:sz="4" w:space="0" w:color="auto"/>
            </w:tcBorders>
            <w:hideMark/>
          </w:tcPr>
          <w:p w14:paraId="6BB082FA" w14:textId="77777777" w:rsidR="00702A74" w:rsidRPr="00F125F5" w:rsidRDefault="00702A74" w:rsidP="00702A74">
            <w:pPr>
              <w:suppressAutoHyphens/>
              <w:autoSpaceDN w:val="0"/>
              <w:spacing w:line="23" w:lineRule="atLeast"/>
              <w:textAlignment w:val="baseline"/>
            </w:pPr>
            <w:r w:rsidRPr="00F125F5">
              <w:t>5%</w:t>
            </w:r>
          </w:p>
        </w:tc>
        <w:tc>
          <w:tcPr>
            <w:tcW w:w="1402" w:type="dxa"/>
            <w:tcBorders>
              <w:top w:val="single" w:sz="4" w:space="0" w:color="auto"/>
              <w:left w:val="single" w:sz="4" w:space="0" w:color="auto"/>
              <w:bottom w:val="single" w:sz="4" w:space="0" w:color="auto"/>
              <w:right w:val="single" w:sz="4" w:space="0" w:color="auto"/>
            </w:tcBorders>
            <w:hideMark/>
          </w:tcPr>
          <w:p w14:paraId="6D9D9D9D" w14:textId="77777777" w:rsidR="00702A74" w:rsidRPr="00F125F5" w:rsidRDefault="00702A74" w:rsidP="00702A74">
            <w:pPr>
              <w:suppressAutoHyphens/>
              <w:autoSpaceDN w:val="0"/>
              <w:spacing w:line="23" w:lineRule="atLeast"/>
              <w:textAlignment w:val="baseline"/>
            </w:pPr>
            <w:r w:rsidRPr="00F125F5">
              <w:t>Score 0-5 x 1</w:t>
            </w:r>
          </w:p>
        </w:tc>
      </w:tr>
      <w:tr w:rsidR="00702A74" w:rsidRPr="00F125F5" w14:paraId="1D5B7521" w14:textId="77777777" w:rsidTr="009F1730">
        <w:trPr>
          <w:trHeight w:val="285"/>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292D6FA" w14:textId="77777777" w:rsidR="00702A74" w:rsidRPr="00F125F5" w:rsidRDefault="00702A74" w:rsidP="00702A74">
            <w:pPr>
              <w:spacing w:after="0"/>
              <w:rPr>
                <w:b/>
                <w:bCs/>
              </w:rPr>
            </w:pPr>
          </w:p>
        </w:tc>
        <w:tc>
          <w:tcPr>
            <w:tcW w:w="5124" w:type="dxa"/>
            <w:tcBorders>
              <w:top w:val="single" w:sz="4" w:space="0" w:color="auto"/>
              <w:left w:val="single" w:sz="4" w:space="0" w:color="auto"/>
              <w:bottom w:val="single" w:sz="4" w:space="0" w:color="auto"/>
              <w:right w:val="single" w:sz="4" w:space="0" w:color="auto"/>
            </w:tcBorders>
            <w:hideMark/>
          </w:tcPr>
          <w:p w14:paraId="064E1C13" w14:textId="77777777" w:rsidR="00702A74" w:rsidRPr="00F125F5" w:rsidRDefault="00702A74" w:rsidP="00702A74">
            <w:pPr>
              <w:suppressAutoHyphens/>
              <w:autoSpaceDN w:val="0"/>
              <w:spacing w:line="23" w:lineRule="atLeast"/>
              <w:textAlignment w:val="baseline"/>
            </w:pPr>
            <w:r w:rsidRPr="00F125F5">
              <w:t>Potential equality and diversity implications are recognised and addressed.</w:t>
            </w:r>
          </w:p>
        </w:tc>
        <w:tc>
          <w:tcPr>
            <w:tcW w:w="950" w:type="dxa"/>
            <w:tcBorders>
              <w:top w:val="single" w:sz="4" w:space="0" w:color="auto"/>
              <w:left w:val="single" w:sz="4" w:space="0" w:color="auto"/>
              <w:bottom w:val="single" w:sz="4" w:space="0" w:color="auto"/>
              <w:right w:val="single" w:sz="4" w:space="0" w:color="auto"/>
            </w:tcBorders>
            <w:hideMark/>
          </w:tcPr>
          <w:p w14:paraId="7D97C410" w14:textId="77777777" w:rsidR="00702A74" w:rsidRPr="00F125F5" w:rsidRDefault="00702A74" w:rsidP="00702A74">
            <w:pPr>
              <w:suppressAutoHyphens/>
              <w:autoSpaceDN w:val="0"/>
              <w:spacing w:line="23" w:lineRule="atLeast"/>
              <w:textAlignment w:val="baseline"/>
            </w:pPr>
            <w:r w:rsidRPr="00F125F5">
              <w:t>5%</w:t>
            </w:r>
          </w:p>
        </w:tc>
        <w:tc>
          <w:tcPr>
            <w:tcW w:w="1402" w:type="dxa"/>
            <w:tcBorders>
              <w:top w:val="single" w:sz="4" w:space="0" w:color="auto"/>
              <w:left w:val="single" w:sz="4" w:space="0" w:color="auto"/>
              <w:bottom w:val="single" w:sz="4" w:space="0" w:color="auto"/>
              <w:right w:val="single" w:sz="4" w:space="0" w:color="auto"/>
            </w:tcBorders>
            <w:hideMark/>
          </w:tcPr>
          <w:p w14:paraId="42499EBC" w14:textId="77777777" w:rsidR="00702A74" w:rsidRPr="00F125F5" w:rsidRDefault="00702A74" w:rsidP="00702A74">
            <w:pPr>
              <w:suppressAutoHyphens/>
              <w:autoSpaceDN w:val="0"/>
              <w:spacing w:line="23" w:lineRule="atLeast"/>
              <w:textAlignment w:val="baseline"/>
            </w:pPr>
            <w:r w:rsidRPr="00F125F5">
              <w:t>Score 0-5 x 1</w:t>
            </w:r>
          </w:p>
        </w:tc>
      </w:tr>
      <w:tr w:rsidR="00702A74" w:rsidRPr="00F125F5" w14:paraId="0122222F" w14:textId="77777777" w:rsidTr="009F1730">
        <w:trPr>
          <w:trHeight w:val="399"/>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8A93CDE" w14:textId="77777777" w:rsidR="00702A74" w:rsidRPr="00F125F5" w:rsidRDefault="00702A74" w:rsidP="00702A74">
            <w:pPr>
              <w:suppressAutoHyphens/>
              <w:autoSpaceDN w:val="0"/>
              <w:spacing w:line="23" w:lineRule="atLeast"/>
              <w:textAlignment w:val="baseline"/>
              <w:rPr>
                <w:b/>
                <w:bCs/>
              </w:rPr>
            </w:pPr>
            <w:r w:rsidRPr="00F125F5">
              <w:rPr>
                <w:b/>
                <w:bCs/>
              </w:rPr>
              <w:t>Match-funding</w:t>
            </w:r>
          </w:p>
        </w:tc>
        <w:tc>
          <w:tcPr>
            <w:tcW w:w="5124" w:type="dxa"/>
            <w:tcBorders>
              <w:top w:val="single" w:sz="4" w:space="0" w:color="auto"/>
              <w:left w:val="single" w:sz="4" w:space="0" w:color="auto"/>
              <w:bottom w:val="single" w:sz="4" w:space="0" w:color="auto"/>
              <w:right w:val="single" w:sz="4" w:space="0" w:color="auto"/>
            </w:tcBorders>
            <w:hideMark/>
          </w:tcPr>
          <w:p w14:paraId="6F90EE3B" w14:textId="77777777" w:rsidR="00702A74" w:rsidRPr="00F125F5" w:rsidRDefault="00702A74" w:rsidP="00702A74">
            <w:pPr>
              <w:suppressAutoHyphens/>
              <w:autoSpaceDN w:val="0"/>
              <w:spacing w:line="23" w:lineRule="atLeast"/>
              <w:textAlignment w:val="baseline"/>
            </w:pPr>
            <w:r w:rsidRPr="00F125F5">
              <w:t>10% or more – 1/ 20% or more – 2/ 40% or more – 3 / 60% or more – 4/ 80% or more - 5</w:t>
            </w:r>
          </w:p>
        </w:tc>
        <w:tc>
          <w:tcPr>
            <w:tcW w:w="950" w:type="dxa"/>
            <w:tcBorders>
              <w:top w:val="single" w:sz="4" w:space="0" w:color="auto"/>
              <w:left w:val="single" w:sz="4" w:space="0" w:color="auto"/>
              <w:bottom w:val="single" w:sz="4" w:space="0" w:color="auto"/>
              <w:right w:val="single" w:sz="4" w:space="0" w:color="auto"/>
            </w:tcBorders>
            <w:hideMark/>
          </w:tcPr>
          <w:p w14:paraId="2610489E" w14:textId="77777777" w:rsidR="00702A74" w:rsidRPr="00F125F5" w:rsidRDefault="00702A74" w:rsidP="00702A74">
            <w:pPr>
              <w:suppressAutoHyphens/>
              <w:autoSpaceDN w:val="0"/>
              <w:spacing w:line="23" w:lineRule="atLeast"/>
              <w:textAlignment w:val="baseline"/>
            </w:pPr>
            <w:r w:rsidRPr="00F125F5">
              <w:t>10%</w:t>
            </w:r>
          </w:p>
        </w:tc>
        <w:tc>
          <w:tcPr>
            <w:tcW w:w="1402" w:type="dxa"/>
            <w:tcBorders>
              <w:top w:val="single" w:sz="4" w:space="0" w:color="auto"/>
              <w:left w:val="single" w:sz="4" w:space="0" w:color="auto"/>
              <w:bottom w:val="single" w:sz="4" w:space="0" w:color="auto"/>
              <w:right w:val="single" w:sz="4" w:space="0" w:color="auto"/>
            </w:tcBorders>
          </w:tcPr>
          <w:p w14:paraId="59BEA08D" w14:textId="77777777" w:rsidR="00702A74" w:rsidRPr="00F125F5" w:rsidRDefault="00702A74" w:rsidP="00702A74">
            <w:pPr>
              <w:suppressAutoHyphens/>
              <w:autoSpaceDN w:val="0"/>
              <w:spacing w:line="23" w:lineRule="atLeast"/>
              <w:textAlignment w:val="baseline"/>
            </w:pPr>
            <w:r w:rsidRPr="00F125F5">
              <w:t>Score 0-5 x 2</w:t>
            </w:r>
          </w:p>
        </w:tc>
      </w:tr>
      <w:tr w:rsidR="00702A74" w:rsidRPr="00F125F5" w14:paraId="67DB8514" w14:textId="77777777" w:rsidTr="009F1730">
        <w:trPr>
          <w:trHeight w:val="393"/>
        </w:trPr>
        <w:tc>
          <w:tcPr>
            <w:tcW w:w="198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5861A34" w14:textId="77777777" w:rsidR="00702A74" w:rsidRPr="00F125F5" w:rsidRDefault="00702A74" w:rsidP="00702A74">
            <w:pPr>
              <w:suppressAutoHyphens/>
              <w:autoSpaceDN w:val="0"/>
              <w:spacing w:line="23" w:lineRule="atLeast"/>
              <w:textAlignment w:val="baseline"/>
              <w:rPr>
                <w:b/>
                <w:bCs/>
              </w:rPr>
            </w:pPr>
            <w:r w:rsidRPr="00F125F5">
              <w:rPr>
                <w:b/>
                <w:bCs/>
              </w:rPr>
              <w:t xml:space="preserve">Deliverability </w:t>
            </w:r>
          </w:p>
        </w:tc>
        <w:tc>
          <w:tcPr>
            <w:tcW w:w="5124" w:type="dxa"/>
            <w:tcBorders>
              <w:top w:val="single" w:sz="4" w:space="0" w:color="auto"/>
              <w:left w:val="single" w:sz="4" w:space="0" w:color="auto"/>
              <w:bottom w:val="single" w:sz="4" w:space="0" w:color="auto"/>
              <w:right w:val="single" w:sz="4" w:space="0" w:color="auto"/>
            </w:tcBorders>
            <w:hideMark/>
          </w:tcPr>
          <w:p w14:paraId="54A7E80D" w14:textId="77777777" w:rsidR="00702A74" w:rsidRPr="00F125F5" w:rsidRDefault="00702A74" w:rsidP="00702A74">
            <w:pPr>
              <w:suppressAutoHyphens/>
              <w:autoSpaceDN w:val="0"/>
              <w:spacing w:line="23" w:lineRule="atLeast"/>
              <w:textAlignment w:val="baseline"/>
            </w:pPr>
            <w:r w:rsidRPr="00F125F5">
              <w:t>It is clear how outputs and outcomes will be captured, measured, and evaluated.</w:t>
            </w:r>
          </w:p>
        </w:tc>
        <w:tc>
          <w:tcPr>
            <w:tcW w:w="950" w:type="dxa"/>
            <w:tcBorders>
              <w:top w:val="single" w:sz="4" w:space="0" w:color="auto"/>
              <w:left w:val="single" w:sz="4" w:space="0" w:color="auto"/>
              <w:bottom w:val="single" w:sz="4" w:space="0" w:color="auto"/>
              <w:right w:val="single" w:sz="4" w:space="0" w:color="auto"/>
            </w:tcBorders>
            <w:hideMark/>
          </w:tcPr>
          <w:p w14:paraId="487E11AD" w14:textId="77777777" w:rsidR="00702A74" w:rsidRPr="00F125F5" w:rsidRDefault="00702A74" w:rsidP="00702A74">
            <w:pPr>
              <w:suppressAutoHyphens/>
              <w:autoSpaceDN w:val="0"/>
              <w:spacing w:line="23" w:lineRule="atLeast"/>
              <w:textAlignment w:val="baseline"/>
            </w:pPr>
            <w:r w:rsidRPr="00F125F5">
              <w:t>10%</w:t>
            </w:r>
          </w:p>
        </w:tc>
        <w:tc>
          <w:tcPr>
            <w:tcW w:w="1402" w:type="dxa"/>
            <w:tcBorders>
              <w:top w:val="single" w:sz="4" w:space="0" w:color="auto"/>
              <w:left w:val="single" w:sz="4" w:space="0" w:color="auto"/>
              <w:bottom w:val="single" w:sz="4" w:space="0" w:color="auto"/>
              <w:right w:val="single" w:sz="4" w:space="0" w:color="auto"/>
            </w:tcBorders>
            <w:hideMark/>
          </w:tcPr>
          <w:p w14:paraId="2778FF01" w14:textId="77777777" w:rsidR="00702A74" w:rsidRPr="00F125F5" w:rsidRDefault="00702A74" w:rsidP="00702A74">
            <w:pPr>
              <w:suppressAutoHyphens/>
              <w:autoSpaceDN w:val="0"/>
              <w:spacing w:line="23" w:lineRule="atLeast"/>
              <w:textAlignment w:val="baseline"/>
            </w:pPr>
            <w:r w:rsidRPr="00F125F5">
              <w:t>Score 0-5 x 2</w:t>
            </w:r>
          </w:p>
        </w:tc>
      </w:tr>
      <w:tr w:rsidR="00702A74" w:rsidRPr="00F125F5" w14:paraId="2E9595A6" w14:textId="77777777" w:rsidTr="009F1730">
        <w:trPr>
          <w:trHeight w:val="408"/>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6B8D478D" w14:textId="77777777" w:rsidR="00702A74" w:rsidRPr="00F125F5" w:rsidRDefault="00702A74" w:rsidP="00702A74">
            <w:pPr>
              <w:spacing w:after="0"/>
              <w:rPr>
                <w:b/>
                <w:bCs/>
              </w:rPr>
            </w:pPr>
          </w:p>
        </w:tc>
        <w:tc>
          <w:tcPr>
            <w:tcW w:w="5124" w:type="dxa"/>
            <w:tcBorders>
              <w:top w:val="single" w:sz="4" w:space="0" w:color="auto"/>
              <w:left w:val="single" w:sz="4" w:space="0" w:color="auto"/>
              <w:bottom w:val="single" w:sz="4" w:space="0" w:color="auto"/>
              <w:right w:val="single" w:sz="4" w:space="0" w:color="auto"/>
            </w:tcBorders>
            <w:hideMark/>
          </w:tcPr>
          <w:p w14:paraId="25FECCA8" w14:textId="77777777" w:rsidR="00702A74" w:rsidRPr="00F125F5" w:rsidRDefault="00702A74" w:rsidP="00702A74">
            <w:pPr>
              <w:suppressAutoHyphens/>
              <w:autoSpaceDN w:val="0"/>
              <w:spacing w:line="23" w:lineRule="atLeast"/>
              <w:textAlignment w:val="baseline"/>
            </w:pPr>
            <w:r w:rsidRPr="00F125F5">
              <w:t>It is clear how risk will be managed and mitigated including delivery on time and in budget.</w:t>
            </w:r>
          </w:p>
        </w:tc>
        <w:tc>
          <w:tcPr>
            <w:tcW w:w="950" w:type="dxa"/>
            <w:tcBorders>
              <w:top w:val="single" w:sz="4" w:space="0" w:color="auto"/>
              <w:left w:val="single" w:sz="4" w:space="0" w:color="auto"/>
              <w:bottom w:val="single" w:sz="4" w:space="0" w:color="auto"/>
              <w:right w:val="single" w:sz="4" w:space="0" w:color="auto"/>
            </w:tcBorders>
            <w:hideMark/>
          </w:tcPr>
          <w:p w14:paraId="3AFE1A2E" w14:textId="77777777" w:rsidR="00702A74" w:rsidRPr="00F125F5" w:rsidRDefault="00702A74" w:rsidP="00702A74">
            <w:pPr>
              <w:suppressAutoHyphens/>
              <w:autoSpaceDN w:val="0"/>
              <w:spacing w:line="23" w:lineRule="atLeast"/>
              <w:textAlignment w:val="baseline"/>
            </w:pPr>
            <w:r w:rsidRPr="00F125F5">
              <w:t>20%</w:t>
            </w:r>
          </w:p>
        </w:tc>
        <w:tc>
          <w:tcPr>
            <w:tcW w:w="1402" w:type="dxa"/>
            <w:tcBorders>
              <w:top w:val="single" w:sz="4" w:space="0" w:color="auto"/>
              <w:left w:val="single" w:sz="4" w:space="0" w:color="auto"/>
              <w:bottom w:val="single" w:sz="4" w:space="0" w:color="auto"/>
              <w:right w:val="single" w:sz="4" w:space="0" w:color="auto"/>
            </w:tcBorders>
            <w:hideMark/>
          </w:tcPr>
          <w:p w14:paraId="413F25B0" w14:textId="77777777" w:rsidR="00702A74" w:rsidRPr="00F125F5" w:rsidRDefault="00702A74" w:rsidP="00702A74">
            <w:pPr>
              <w:suppressAutoHyphens/>
              <w:autoSpaceDN w:val="0"/>
              <w:spacing w:line="23" w:lineRule="atLeast"/>
              <w:textAlignment w:val="baseline"/>
            </w:pPr>
            <w:r w:rsidRPr="00F125F5">
              <w:t>Score 0-5 x 4</w:t>
            </w:r>
          </w:p>
        </w:tc>
      </w:tr>
    </w:tbl>
    <w:p w14:paraId="16AD4A70" w14:textId="110D5BFE" w:rsidR="00702A74" w:rsidRDefault="00702A74">
      <w:pPr>
        <w:spacing w:after="0" w:line="259" w:lineRule="auto"/>
        <w:ind w:left="0" w:firstLine="0"/>
        <w:rPr>
          <w:rFonts w:ascii="Calibri" w:eastAsia="Calibri" w:hAnsi="Calibri" w:cs="Calibri"/>
          <w:sz w:val="20"/>
        </w:rPr>
      </w:pPr>
    </w:p>
    <w:p w14:paraId="3B51D322" w14:textId="77777777" w:rsidR="00702A74" w:rsidRDefault="00702A74" w:rsidP="00534BDE">
      <w:pPr>
        <w:spacing w:after="0" w:line="259" w:lineRule="auto"/>
        <w:ind w:left="568" w:hanging="426"/>
      </w:pPr>
    </w:p>
    <w:p w14:paraId="26682BA7" w14:textId="587B2F77" w:rsidR="00F125F5" w:rsidRDefault="006D5EEA" w:rsidP="009F1730">
      <w:pPr>
        <w:numPr>
          <w:ilvl w:val="1"/>
          <w:numId w:val="30"/>
        </w:numPr>
        <w:ind w:left="568"/>
      </w:pPr>
      <w:r>
        <w:t>Awards will be made to</w:t>
      </w:r>
      <w:r w:rsidR="00702A74">
        <w:t xml:space="preserve"> applicants</w:t>
      </w:r>
      <w:r>
        <w:t xml:space="preserve"> that score the highest</w:t>
      </w:r>
      <w:r w:rsidR="00F125F5">
        <w:t xml:space="preserve">, </w:t>
      </w:r>
      <w:r w:rsidR="00534BDE">
        <w:t>in accordance with funding availability as below</w:t>
      </w:r>
      <w:r w:rsidR="00F125F5">
        <w:t>:</w:t>
      </w:r>
    </w:p>
    <w:p w14:paraId="22781F0C" w14:textId="77777777" w:rsidR="00F125F5" w:rsidRDefault="00F125F5" w:rsidP="00F125F5">
      <w:pPr>
        <w:ind w:left="568" w:firstLine="0"/>
      </w:pPr>
    </w:p>
    <w:tbl>
      <w:tblPr>
        <w:tblStyle w:val="TableGrid0"/>
        <w:tblW w:w="0" w:type="auto"/>
        <w:tblInd w:w="360" w:type="dxa"/>
        <w:tblLook w:val="04A0" w:firstRow="1" w:lastRow="0" w:firstColumn="1" w:lastColumn="0" w:noHBand="0" w:noVBand="1"/>
      </w:tblPr>
      <w:tblGrid>
        <w:gridCol w:w="4689"/>
        <w:gridCol w:w="4689"/>
      </w:tblGrid>
      <w:tr w:rsidR="00F125F5" w14:paraId="6D67F7F5" w14:textId="77777777" w:rsidTr="00F125F5">
        <w:tc>
          <w:tcPr>
            <w:tcW w:w="4869" w:type="dxa"/>
            <w:shd w:val="clear" w:color="auto" w:fill="D9D9D9" w:themeFill="background1" w:themeFillShade="D9"/>
          </w:tcPr>
          <w:p w14:paraId="05A1E567" w14:textId="6DFB30BC" w:rsidR="00F125F5" w:rsidRPr="00F125F5" w:rsidRDefault="00F125F5" w:rsidP="00F125F5">
            <w:pPr>
              <w:ind w:left="0" w:firstLine="0"/>
              <w:jc w:val="center"/>
              <w:rPr>
                <w:b/>
                <w:bCs/>
              </w:rPr>
            </w:pPr>
            <w:r w:rsidRPr="00F125F5">
              <w:rPr>
                <w:b/>
                <w:bCs/>
              </w:rPr>
              <w:t>Capital</w:t>
            </w:r>
            <w:r w:rsidR="00D34377">
              <w:rPr>
                <w:b/>
                <w:bCs/>
              </w:rPr>
              <w:t xml:space="preserve"> </w:t>
            </w:r>
            <w:r w:rsidR="008009E0">
              <w:rPr>
                <w:b/>
                <w:bCs/>
              </w:rPr>
              <w:t>a</w:t>
            </w:r>
            <w:r w:rsidR="00D34377">
              <w:rPr>
                <w:b/>
                <w:bCs/>
              </w:rPr>
              <w:t>vailability</w:t>
            </w:r>
          </w:p>
        </w:tc>
        <w:tc>
          <w:tcPr>
            <w:tcW w:w="4869" w:type="dxa"/>
            <w:shd w:val="clear" w:color="auto" w:fill="D9D9D9" w:themeFill="background1" w:themeFillShade="D9"/>
          </w:tcPr>
          <w:p w14:paraId="2EEA4BBA" w14:textId="2D7D2357" w:rsidR="00F125F5" w:rsidRPr="00F125F5" w:rsidRDefault="00F125F5" w:rsidP="00F125F5">
            <w:pPr>
              <w:ind w:left="0" w:firstLine="0"/>
              <w:jc w:val="center"/>
              <w:rPr>
                <w:b/>
                <w:bCs/>
              </w:rPr>
            </w:pPr>
            <w:r>
              <w:rPr>
                <w:b/>
                <w:bCs/>
              </w:rPr>
              <w:t>Revenue</w:t>
            </w:r>
            <w:r w:rsidR="00D34377">
              <w:rPr>
                <w:b/>
                <w:bCs/>
              </w:rPr>
              <w:t xml:space="preserve"> </w:t>
            </w:r>
            <w:r w:rsidR="008009E0">
              <w:rPr>
                <w:b/>
                <w:bCs/>
              </w:rPr>
              <w:t>a</w:t>
            </w:r>
            <w:r w:rsidR="00D34377">
              <w:rPr>
                <w:b/>
                <w:bCs/>
              </w:rPr>
              <w:t>vailability</w:t>
            </w:r>
          </w:p>
        </w:tc>
      </w:tr>
      <w:tr w:rsidR="00F125F5" w14:paraId="6D8E074A" w14:textId="77777777" w:rsidTr="00F125F5">
        <w:tc>
          <w:tcPr>
            <w:tcW w:w="4869" w:type="dxa"/>
          </w:tcPr>
          <w:p w14:paraId="0393DCC7" w14:textId="7063DECC" w:rsidR="00F125F5" w:rsidRDefault="00F125F5" w:rsidP="00F125F5">
            <w:pPr>
              <w:ind w:left="0" w:firstLine="0"/>
              <w:jc w:val="center"/>
            </w:pPr>
            <w:r>
              <w:lastRenderedPageBreak/>
              <w:t xml:space="preserve">Total allocated to </w:t>
            </w:r>
            <w:r w:rsidR="008009E0">
              <w:t xml:space="preserve">this call </w:t>
            </w:r>
            <w:r>
              <w:t xml:space="preserve">- </w:t>
            </w:r>
            <w:proofErr w:type="gramStart"/>
            <w:r>
              <w:t>£523,817</w:t>
            </w:r>
            <w:proofErr w:type="gramEnd"/>
          </w:p>
          <w:p w14:paraId="64EFCEF8" w14:textId="77777777" w:rsidR="00F125F5" w:rsidRDefault="00F125F5" w:rsidP="00F125F5">
            <w:pPr>
              <w:ind w:left="0" w:firstLine="0"/>
              <w:jc w:val="center"/>
            </w:pPr>
          </w:p>
          <w:p w14:paraId="204670A5" w14:textId="77D12440" w:rsidR="00F125F5" w:rsidRDefault="00F125F5" w:rsidP="00F125F5">
            <w:pPr>
              <w:ind w:left="0" w:firstLine="0"/>
              <w:jc w:val="center"/>
            </w:pPr>
            <w:r>
              <w:t>A minimum of £320,708 must be allocated to projects in rural areas.</w:t>
            </w:r>
          </w:p>
        </w:tc>
        <w:tc>
          <w:tcPr>
            <w:tcW w:w="4869" w:type="dxa"/>
          </w:tcPr>
          <w:p w14:paraId="58F507DC" w14:textId="27626F4B" w:rsidR="00F125F5" w:rsidRDefault="00F125F5" w:rsidP="00F125F5">
            <w:pPr>
              <w:ind w:left="0" w:firstLine="0"/>
              <w:jc w:val="center"/>
            </w:pPr>
            <w:r>
              <w:t>Total allocated to</w:t>
            </w:r>
            <w:r w:rsidR="008009E0">
              <w:t xml:space="preserve"> this</w:t>
            </w:r>
            <w:r>
              <w:t xml:space="preserve"> call- </w:t>
            </w:r>
            <w:proofErr w:type="gramStart"/>
            <w:r>
              <w:t>£195,000</w:t>
            </w:r>
            <w:proofErr w:type="gramEnd"/>
          </w:p>
          <w:p w14:paraId="418A5DAE" w14:textId="77777777" w:rsidR="00F125F5" w:rsidRDefault="00F125F5" w:rsidP="00F125F5">
            <w:pPr>
              <w:ind w:left="0" w:firstLine="0"/>
              <w:jc w:val="center"/>
            </w:pPr>
          </w:p>
          <w:p w14:paraId="495C1B3E" w14:textId="18A7D5BB" w:rsidR="00F125F5" w:rsidRDefault="00F125F5" w:rsidP="00F125F5">
            <w:pPr>
              <w:ind w:left="0" w:firstLine="0"/>
              <w:jc w:val="center"/>
            </w:pPr>
            <w:r>
              <w:t>A minimum of £100,000 must be allocated to People and Skills projects.</w:t>
            </w:r>
          </w:p>
        </w:tc>
      </w:tr>
    </w:tbl>
    <w:p w14:paraId="0AD0233A" w14:textId="77777777" w:rsidR="00F125F5" w:rsidRDefault="00F125F5" w:rsidP="00CC4153">
      <w:pPr>
        <w:ind w:left="0" w:firstLine="0"/>
      </w:pPr>
    </w:p>
    <w:p w14:paraId="46A5409B" w14:textId="32149B23" w:rsidR="007318AE" w:rsidRDefault="007318AE" w:rsidP="00F125F5">
      <w:pPr>
        <w:spacing w:after="0" w:line="259" w:lineRule="auto"/>
        <w:ind w:left="0" w:firstLine="0"/>
      </w:pPr>
    </w:p>
    <w:p w14:paraId="4CAC66BB" w14:textId="124A8036" w:rsidR="007318AE" w:rsidRDefault="006D5EEA" w:rsidP="009F1730">
      <w:pPr>
        <w:numPr>
          <w:ilvl w:val="1"/>
          <w:numId w:val="30"/>
        </w:numPr>
        <w:ind w:left="567" w:hanging="425"/>
      </w:pPr>
      <w:r>
        <w:t>The council reserves the right not to allocate some, or all of the funding through this process and may withhold from delivering any potential future grant funding rounds. Where applications may tie on scores, the council at i</w:t>
      </w:r>
      <w:r w:rsidR="008009E0">
        <w:t>ts</w:t>
      </w:r>
      <w:r>
        <w:t xml:space="preserve"> discretion will determine additional assessment criteria to undertake further moderation and will re-mark applications</w:t>
      </w:r>
      <w:r w:rsidR="00702A74">
        <w:t xml:space="preserve"> in the first instance</w:t>
      </w:r>
      <w:r>
        <w:t xml:space="preserve">. </w:t>
      </w:r>
    </w:p>
    <w:p w14:paraId="0CEDE768" w14:textId="77777777" w:rsidR="007318AE" w:rsidRDefault="006D5EEA" w:rsidP="00F125F5">
      <w:pPr>
        <w:spacing w:after="0" w:line="259" w:lineRule="auto"/>
        <w:ind w:left="851" w:hanging="709"/>
      </w:pPr>
      <w:r>
        <w:rPr>
          <w:b/>
        </w:rPr>
        <w:t xml:space="preserve"> </w:t>
      </w:r>
    </w:p>
    <w:p w14:paraId="03F1E289" w14:textId="0DF172D0" w:rsidR="009F1730" w:rsidRPr="009F1730" w:rsidRDefault="00905DD0" w:rsidP="00905DD0">
      <w:pPr>
        <w:pStyle w:val="ListParagraph"/>
        <w:tabs>
          <w:tab w:val="left" w:pos="284"/>
        </w:tabs>
        <w:spacing w:after="0" w:line="259" w:lineRule="auto"/>
        <w:ind w:left="142" w:firstLine="0"/>
      </w:pPr>
      <w:r w:rsidRPr="00905DD0">
        <w:rPr>
          <w:b/>
        </w:rPr>
        <w:t xml:space="preserve">8.0 </w:t>
      </w:r>
      <w:r w:rsidR="006D5EEA" w:rsidRPr="009F1730">
        <w:rPr>
          <w:b/>
          <w:u w:val="single" w:color="000000"/>
        </w:rPr>
        <w:t>Support</w:t>
      </w:r>
      <w:r w:rsidR="006D5EEA" w:rsidRPr="009F1730">
        <w:rPr>
          <w:b/>
        </w:rPr>
        <w:t xml:space="preserve"> </w:t>
      </w:r>
    </w:p>
    <w:p w14:paraId="319AAD72" w14:textId="77777777" w:rsidR="009F1730" w:rsidRPr="009F1730" w:rsidRDefault="009F1730" w:rsidP="009F1730">
      <w:pPr>
        <w:pStyle w:val="ListParagraph"/>
        <w:spacing w:after="0" w:line="259" w:lineRule="auto"/>
        <w:ind w:left="502" w:firstLine="0"/>
      </w:pPr>
    </w:p>
    <w:p w14:paraId="501F6CD1" w14:textId="77777777" w:rsidR="007318AE" w:rsidRPr="005460DC" w:rsidRDefault="006D5EEA" w:rsidP="00383868">
      <w:pPr>
        <w:pStyle w:val="ListParagraph"/>
        <w:numPr>
          <w:ilvl w:val="1"/>
          <w:numId w:val="31"/>
        </w:numPr>
        <w:spacing w:after="0" w:line="259" w:lineRule="auto"/>
        <w:ind w:left="567" w:hanging="425"/>
      </w:pPr>
      <w:r>
        <w:t xml:space="preserve">For any queries, please email: </w:t>
      </w:r>
      <w:r w:rsidRPr="009F1730">
        <w:rPr>
          <w:color w:val="0000FF"/>
          <w:u w:val="single" w:color="0000FF"/>
        </w:rPr>
        <w:t>UKSPF@newark-sherwooddc.gov.u</w:t>
      </w:r>
      <w:r w:rsidR="00383868">
        <w:rPr>
          <w:color w:val="0000FF"/>
          <w:u w:val="single" w:color="0000FF"/>
        </w:rPr>
        <w:t>k</w:t>
      </w:r>
    </w:p>
    <w:p w14:paraId="6FABECB7" w14:textId="77777777" w:rsidR="005460DC" w:rsidRDefault="005460DC" w:rsidP="005460DC">
      <w:pPr>
        <w:spacing w:after="0" w:line="259" w:lineRule="auto"/>
      </w:pPr>
    </w:p>
    <w:p w14:paraId="27CEB6A2" w14:textId="77777777" w:rsidR="005460DC" w:rsidRDefault="005460DC" w:rsidP="005460DC">
      <w:pPr>
        <w:spacing w:after="0" w:line="259" w:lineRule="auto"/>
      </w:pPr>
    </w:p>
    <w:p w14:paraId="1C85BDBC" w14:textId="77777777" w:rsidR="005460DC" w:rsidRDefault="005460DC" w:rsidP="005460DC">
      <w:pPr>
        <w:spacing w:after="0" w:line="259" w:lineRule="auto"/>
      </w:pPr>
    </w:p>
    <w:p w14:paraId="2E5A4918" w14:textId="77777777" w:rsidR="005460DC" w:rsidRDefault="005460DC" w:rsidP="005460DC">
      <w:pPr>
        <w:spacing w:after="0" w:line="259" w:lineRule="auto"/>
      </w:pPr>
    </w:p>
    <w:p w14:paraId="642C21FE" w14:textId="77777777" w:rsidR="005460DC" w:rsidRDefault="005460DC" w:rsidP="005460DC">
      <w:pPr>
        <w:spacing w:after="0" w:line="259" w:lineRule="auto"/>
      </w:pPr>
    </w:p>
    <w:p w14:paraId="65F2EDD5" w14:textId="77777777" w:rsidR="005460DC" w:rsidRDefault="005460DC" w:rsidP="005460DC">
      <w:pPr>
        <w:spacing w:after="0" w:line="259" w:lineRule="auto"/>
      </w:pPr>
    </w:p>
    <w:p w14:paraId="149382FE" w14:textId="77777777" w:rsidR="005460DC" w:rsidRDefault="005460DC" w:rsidP="005460DC">
      <w:pPr>
        <w:spacing w:after="0" w:line="259" w:lineRule="auto"/>
      </w:pPr>
    </w:p>
    <w:p w14:paraId="15B2F9C2" w14:textId="77777777" w:rsidR="005460DC" w:rsidRDefault="005460DC" w:rsidP="005460DC">
      <w:pPr>
        <w:spacing w:after="0" w:line="259" w:lineRule="auto"/>
      </w:pPr>
    </w:p>
    <w:p w14:paraId="1E38BCDA" w14:textId="77777777" w:rsidR="005460DC" w:rsidRDefault="005460DC" w:rsidP="005460DC">
      <w:pPr>
        <w:spacing w:after="0" w:line="259" w:lineRule="auto"/>
      </w:pPr>
    </w:p>
    <w:p w14:paraId="186054FC" w14:textId="77777777" w:rsidR="005460DC" w:rsidRDefault="005460DC" w:rsidP="005460DC">
      <w:pPr>
        <w:spacing w:after="0" w:line="259" w:lineRule="auto"/>
      </w:pPr>
    </w:p>
    <w:p w14:paraId="6BAC9012" w14:textId="77777777" w:rsidR="005460DC" w:rsidRDefault="005460DC" w:rsidP="005460DC">
      <w:pPr>
        <w:spacing w:after="0" w:line="259" w:lineRule="auto"/>
      </w:pPr>
    </w:p>
    <w:p w14:paraId="2380B715" w14:textId="77777777" w:rsidR="005460DC" w:rsidRDefault="005460DC" w:rsidP="005460DC">
      <w:pPr>
        <w:spacing w:after="0" w:line="259" w:lineRule="auto"/>
      </w:pPr>
    </w:p>
    <w:p w14:paraId="3D106081" w14:textId="77777777" w:rsidR="005460DC" w:rsidRDefault="005460DC" w:rsidP="005460DC">
      <w:pPr>
        <w:spacing w:after="0" w:line="259" w:lineRule="auto"/>
      </w:pPr>
    </w:p>
    <w:p w14:paraId="6314DBD5" w14:textId="77777777" w:rsidR="005460DC" w:rsidRDefault="005460DC" w:rsidP="005460DC">
      <w:pPr>
        <w:spacing w:after="0" w:line="259" w:lineRule="auto"/>
      </w:pPr>
    </w:p>
    <w:p w14:paraId="36F04B25" w14:textId="77777777" w:rsidR="005460DC" w:rsidRDefault="005460DC" w:rsidP="005460DC">
      <w:pPr>
        <w:spacing w:after="0" w:line="259" w:lineRule="auto"/>
      </w:pPr>
    </w:p>
    <w:p w14:paraId="28B4A804" w14:textId="77777777" w:rsidR="005460DC" w:rsidRDefault="005460DC" w:rsidP="005460DC">
      <w:pPr>
        <w:spacing w:after="0" w:line="259" w:lineRule="auto"/>
      </w:pPr>
    </w:p>
    <w:p w14:paraId="169D1B18" w14:textId="77777777" w:rsidR="005460DC" w:rsidRDefault="005460DC" w:rsidP="005460DC">
      <w:pPr>
        <w:spacing w:after="0" w:line="259" w:lineRule="auto"/>
      </w:pPr>
    </w:p>
    <w:p w14:paraId="3D690C28" w14:textId="77777777" w:rsidR="005460DC" w:rsidRDefault="005460DC" w:rsidP="005460DC">
      <w:pPr>
        <w:spacing w:after="0" w:line="259" w:lineRule="auto"/>
      </w:pPr>
    </w:p>
    <w:p w14:paraId="76A78EB0" w14:textId="77777777" w:rsidR="005460DC" w:rsidRDefault="005460DC" w:rsidP="005460DC">
      <w:pPr>
        <w:spacing w:after="0" w:line="259" w:lineRule="auto"/>
      </w:pPr>
    </w:p>
    <w:p w14:paraId="20860603" w14:textId="77777777" w:rsidR="005460DC" w:rsidRDefault="005460DC" w:rsidP="005460DC">
      <w:pPr>
        <w:spacing w:after="0" w:line="259" w:lineRule="auto"/>
      </w:pPr>
    </w:p>
    <w:p w14:paraId="58C8A9C0" w14:textId="77777777" w:rsidR="005460DC" w:rsidRDefault="005460DC" w:rsidP="005460DC">
      <w:pPr>
        <w:spacing w:after="0" w:line="259" w:lineRule="auto"/>
      </w:pPr>
    </w:p>
    <w:p w14:paraId="1B1C24C7" w14:textId="77777777" w:rsidR="005460DC" w:rsidRDefault="005460DC" w:rsidP="005460DC">
      <w:pPr>
        <w:spacing w:after="0" w:line="259" w:lineRule="auto"/>
      </w:pPr>
    </w:p>
    <w:p w14:paraId="34BF0F79" w14:textId="77777777" w:rsidR="005460DC" w:rsidRDefault="005460DC" w:rsidP="005460DC">
      <w:pPr>
        <w:spacing w:after="0" w:line="259" w:lineRule="auto"/>
      </w:pPr>
    </w:p>
    <w:p w14:paraId="35E44F61" w14:textId="77777777" w:rsidR="005460DC" w:rsidRDefault="005460DC" w:rsidP="005460DC">
      <w:pPr>
        <w:spacing w:after="0" w:line="259" w:lineRule="auto"/>
      </w:pPr>
    </w:p>
    <w:p w14:paraId="53DF73B9" w14:textId="77777777" w:rsidR="005460DC" w:rsidRDefault="005460DC" w:rsidP="005460DC">
      <w:pPr>
        <w:spacing w:after="0" w:line="259" w:lineRule="auto"/>
      </w:pPr>
    </w:p>
    <w:p w14:paraId="1DBFB27E" w14:textId="77777777" w:rsidR="005460DC" w:rsidRDefault="005460DC" w:rsidP="005460DC">
      <w:pPr>
        <w:spacing w:after="0" w:line="259" w:lineRule="auto"/>
      </w:pPr>
    </w:p>
    <w:p w14:paraId="55C569FB" w14:textId="77777777" w:rsidR="005460DC" w:rsidRDefault="005460DC" w:rsidP="005460DC">
      <w:pPr>
        <w:spacing w:after="0" w:line="259" w:lineRule="auto"/>
      </w:pPr>
    </w:p>
    <w:p w14:paraId="69BC2AE4" w14:textId="77777777" w:rsidR="005460DC" w:rsidRDefault="005460DC" w:rsidP="005460DC">
      <w:pPr>
        <w:spacing w:after="0" w:line="259" w:lineRule="auto"/>
      </w:pPr>
    </w:p>
    <w:p w14:paraId="3D0A6EDA" w14:textId="77777777" w:rsidR="005460DC" w:rsidRDefault="005460DC" w:rsidP="005460DC">
      <w:pPr>
        <w:spacing w:after="0" w:line="259" w:lineRule="auto"/>
      </w:pPr>
    </w:p>
    <w:p w14:paraId="6E431F5F" w14:textId="77777777" w:rsidR="005460DC" w:rsidRDefault="005460DC" w:rsidP="005460DC">
      <w:pPr>
        <w:spacing w:after="0" w:line="259" w:lineRule="auto"/>
      </w:pPr>
    </w:p>
    <w:p w14:paraId="3DAB8256" w14:textId="77777777" w:rsidR="005460DC" w:rsidRDefault="005460DC" w:rsidP="005460DC">
      <w:pPr>
        <w:spacing w:after="0" w:line="259" w:lineRule="auto"/>
      </w:pPr>
    </w:p>
    <w:p w14:paraId="4C34E828" w14:textId="77777777" w:rsidR="005460DC" w:rsidRDefault="005460DC" w:rsidP="005460DC">
      <w:pPr>
        <w:spacing w:after="0" w:line="259" w:lineRule="auto"/>
      </w:pPr>
    </w:p>
    <w:p w14:paraId="3AAA649D" w14:textId="77777777" w:rsidR="005460DC" w:rsidRDefault="005460DC" w:rsidP="005460DC">
      <w:pPr>
        <w:spacing w:after="0" w:line="259" w:lineRule="auto"/>
      </w:pPr>
    </w:p>
    <w:p w14:paraId="41C15692" w14:textId="77777777" w:rsidR="00402899" w:rsidRDefault="00402899" w:rsidP="005460DC">
      <w:pPr>
        <w:spacing w:after="0" w:line="259" w:lineRule="auto"/>
      </w:pPr>
    </w:p>
    <w:p w14:paraId="2650BA4D" w14:textId="77777777" w:rsidR="00402899" w:rsidRDefault="00402899" w:rsidP="005460DC">
      <w:pPr>
        <w:spacing w:after="0" w:line="259" w:lineRule="auto"/>
      </w:pPr>
    </w:p>
    <w:p w14:paraId="57800808" w14:textId="77777777" w:rsidR="005460DC" w:rsidRPr="005460DC" w:rsidRDefault="005460DC" w:rsidP="00446DAC">
      <w:pPr>
        <w:spacing w:after="0" w:line="259" w:lineRule="auto"/>
        <w:ind w:left="0" w:firstLine="0"/>
        <w:rPr>
          <w:b/>
          <w:bCs/>
          <w:u w:val="single"/>
        </w:rPr>
      </w:pPr>
    </w:p>
    <w:p w14:paraId="00BC6BFD" w14:textId="0FDCC8AF" w:rsidR="00446DAC" w:rsidRPr="00636ECB" w:rsidRDefault="00463867" w:rsidP="005460DC">
      <w:pPr>
        <w:spacing w:after="0" w:line="259" w:lineRule="auto"/>
        <w:jc w:val="center"/>
        <w:rPr>
          <w:b/>
          <w:bCs/>
          <w:sz w:val="20"/>
          <w:szCs w:val="20"/>
          <w:u w:val="single"/>
        </w:rPr>
      </w:pPr>
      <w:r>
        <w:rPr>
          <w:b/>
          <w:bCs/>
          <w:sz w:val="20"/>
          <w:szCs w:val="20"/>
          <w:u w:val="single"/>
        </w:rPr>
        <w:lastRenderedPageBreak/>
        <w:t xml:space="preserve">Appendix A: </w:t>
      </w:r>
      <w:r w:rsidR="005460DC" w:rsidRPr="00636ECB">
        <w:rPr>
          <w:b/>
          <w:bCs/>
          <w:sz w:val="20"/>
          <w:szCs w:val="20"/>
          <w:u w:val="single"/>
        </w:rPr>
        <w:t>Expression of Interest Template</w:t>
      </w:r>
    </w:p>
    <w:p w14:paraId="62BA0B1D" w14:textId="77777777" w:rsidR="00446DAC" w:rsidRPr="00636ECB" w:rsidRDefault="00446DAC" w:rsidP="005460DC">
      <w:pPr>
        <w:spacing w:after="0" w:line="259" w:lineRule="auto"/>
        <w:jc w:val="center"/>
        <w:rPr>
          <w:b/>
          <w:bCs/>
          <w:sz w:val="20"/>
          <w:szCs w:val="20"/>
          <w:u w:val="single"/>
        </w:rPr>
      </w:pPr>
    </w:p>
    <w:p w14:paraId="596CC37B" w14:textId="4BDC4C3C" w:rsidR="005460DC" w:rsidRPr="00636ECB" w:rsidRDefault="00921FB9" w:rsidP="005460DC">
      <w:pPr>
        <w:spacing w:after="0" w:line="259" w:lineRule="auto"/>
        <w:jc w:val="center"/>
        <w:rPr>
          <w:sz w:val="20"/>
          <w:szCs w:val="20"/>
        </w:rPr>
      </w:pPr>
      <w:r>
        <w:rPr>
          <w:sz w:val="20"/>
          <w:szCs w:val="20"/>
        </w:rPr>
        <w:t xml:space="preserve">To </w:t>
      </w:r>
      <w:r w:rsidR="005460DC" w:rsidRPr="00636ECB">
        <w:rPr>
          <w:sz w:val="20"/>
          <w:szCs w:val="20"/>
        </w:rPr>
        <w:t xml:space="preserve">be returned to </w:t>
      </w:r>
      <w:hyperlink r:id="rId43" w:history="1">
        <w:r w:rsidR="005460DC" w:rsidRPr="00636ECB">
          <w:rPr>
            <w:rStyle w:val="Hyperlink"/>
            <w:sz w:val="20"/>
            <w:szCs w:val="20"/>
            <w:u w:val="none"/>
          </w:rPr>
          <w:t>UKSPF@newark-sherwooddc.gov.uk</w:t>
        </w:r>
      </w:hyperlink>
      <w:r w:rsidR="00446DAC" w:rsidRPr="00636ECB">
        <w:rPr>
          <w:sz w:val="20"/>
          <w:szCs w:val="20"/>
        </w:rPr>
        <w:t xml:space="preserve"> by 5pm 15</w:t>
      </w:r>
      <w:r w:rsidR="00446DAC" w:rsidRPr="00636ECB">
        <w:rPr>
          <w:sz w:val="20"/>
          <w:szCs w:val="20"/>
          <w:vertAlign w:val="superscript"/>
        </w:rPr>
        <w:t>th</w:t>
      </w:r>
      <w:r w:rsidR="00446DAC" w:rsidRPr="00636ECB">
        <w:rPr>
          <w:sz w:val="20"/>
          <w:szCs w:val="20"/>
        </w:rPr>
        <w:t xml:space="preserve"> January 2024</w:t>
      </w:r>
    </w:p>
    <w:p w14:paraId="60CEB374" w14:textId="77777777" w:rsidR="005460DC" w:rsidRPr="00636ECB" w:rsidRDefault="005460DC" w:rsidP="005460DC">
      <w:pPr>
        <w:spacing w:after="0" w:line="259" w:lineRule="auto"/>
        <w:jc w:val="center"/>
        <w:rPr>
          <w:b/>
          <w:bCs/>
          <w:sz w:val="20"/>
          <w:szCs w:val="20"/>
          <w:u w:val="single"/>
        </w:rPr>
      </w:pPr>
    </w:p>
    <w:tbl>
      <w:tblPr>
        <w:tblStyle w:val="TableGrid0"/>
        <w:tblW w:w="0" w:type="auto"/>
        <w:tblInd w:w="10" w:type="dxa"/>
        <w:tblLook w:val="04A0" w:firstRow="1" w:lastRow="0" w:firstColumn="1" w:lastColumn="0" w:noHBand="0" w:noVBand="1"/>
      </w:tblPr>
      <w:tblGrid>
        <w:gridCol w:w="9728"/>
      </w:tblGrid>
      <w:tr w:rsidR="00446DAC" w:rsidRPr="00636ECB" w14:paraId="133ACB5D" w14:textId="77777777" w:rsidTr="00C90443">
        <w:tc>
          <w:tcPr>
            <w:tcW w:w="9728" w:type="dxa"/>
            <w:shd w:val="clear" w:color="auto" w:fill="D9D9D9" w:themeFill="background1" w:themeFillShade="D9"/>
          </w:tcPr>
          <w:p w14:paraId="4D355CED" w14:textId="40BCAC77" w:rsidR="00446DAC" w:rsidRPr="00636ECB" w:rsidRDefault="001F5072" w:rsidP="00446DAC">
            <w:pPr>
              <w:spacing w:after="0" w:line="259" w:lineRule="auto"/>
              <w:ind w:left="0" w:firstLine="0"/>
              <w:rPr>
                <w:b/>
                <w:bCs/>
                <w:sz w:val="20"/>
                <w:szCs w:val="20"/>
                <w:u w:val="single"/>
              </w:rPr>
            </w:pPr>
            <w:r w:rsidRPr="00636ECB">
              <w:rPr>
                <w:b/>
                <w:bCs/>
                <w:sz w:val="20"/>
                <w:szCs w:val="20"/>
                <w:u w:val="single"/>
              </w:rPr>
              <w:t>Applicant</w:t>
            </w:r>
          </w:p>
        </w:tc>
      </w:tr>
      <w:tr w:rsidR="001F5072" w:rsidRPr="00636ECB" w14:paraId="70F1D86E" w14:textId="77777777" w:rsidTr="00C90443">
        <w:tc>
          <w:tcPr>
            <w:tcW w:w="9728" w:type="dxa"/>
          </w:tcPr>
          <w:p w14:paraId="29544167" w14:textId="6180B51E" w:rsidR="001F5072" w:rsidRPr="00636ECB" w:rsidRDefault="001F5072" w:rsidP="00446DAC">
            <w:pPr>
              <w:spacing w:after="0" w:line="259" w:lineRule="auto"/>
              <w:ind w:left="0" w:firstLine="0"/>
              <w:rPr>
                <w:sz w:val="20"/>
                <w:szCs w:val="20"/>
              </w:rPr>
            </w:pPr>
            <w:r w:rsidRPr="00636ECB">
              <w:rPr>
                <w:sz w:val="20"/>
                <w:szCs w:val="20"/>
              </w:rPr>
              <w:t>Organisation Name:</w:t>
            </w:r>
          </w:p>
          <w:p w14:paraId="24EFB9E8" w14:textId="77777777" w:rsidR="001F5072" w:rsidRPr="00636ECB" w:rsidRDefault="001F5072" w:rsidP="00446DAC">
            <w:pPr>
              <w:spacing w:after="0" w:line="259" w:lineRule="auto"/>
              <w:ind w:left="0" w:firstLine="0"/>
              <w:rPr>
                <w:sz w:val="20"/>
                <w:szCs w:val="20"/>
              </w:rPr>
            </w:pPr>
          </w:p>
          <w:p w14:paraId="0EF58591" w14:textId="6D1D48B3" w:rsidR="001F5072" w:rsidRPr="00636ECB" w:rsidRDefault="001F5072" w:rsidP="00446DAC">
            <w:pPr>
              <w:spacing w:after="0" w:line="259" w:lineRule="auto"/>
              <w:ind w:left="0" w:firstLine="0"/>
              <w:rPr>
                <w:sz w:val="20"/>
                <w:szCs w:val="20"/>
              </w:rPr>
            </w:pPr>
            <w:r w:rsidRPr="00636ECB">
              <w:rPr>
                <w:sz w:val="20"/>
                <w:szCs w:val="20"/>
              </w:rPr>
              <w:t>Lead Contact Name:</w:t>
            </w:r>
          </w:p>
          <w:p w14:paraId="49FEAA30" w14:textId="77777777" w:rsidR="001F5072" w:rsidRPr="00636ECB" w:rsidRDefault="001F5072" w:rsidP="00446DAC">
            <w:pPr>
              <w:spacing w:after="0" w:line="259" w:lineRule="auto"/>
              <w:ind w:left="0" w:firstLine="0"/>
              <w:rPr>
                <w:sz w:val="20"/>
                <w:szCs w:val="20"/>
              </w:rPr>
            </w:pPr>
          </w:p>
          <w:p w14:paraId="5FB38B74" w14:textId="29BC6754" w:rsidR="001F5072" w:rsidRPr="00636ECB" w:rsidRDefault="001F5072" w:rsidP="00446DAC">
            <w:pPr>
              <w:spacing w:after="0" w:line="259" w:lineRule="auto"/>
              <w:ind w:left="0" w:firstLine="0"/>
              <w:rPr>
                <w:sz w:val="20"/>
                <w:szCs w:val="20"/>
              </w:rPr>
            </w:pPr>
            <w:r w:rsidRPr="00636ECB">
              <w:rPr>
                <w:sz w:val="20"/>
                <w:szCs w:val="20"/>
              </w:rPr>
              <w:t>Contact Email and Tel No:</w:t>
            </w:r>
          </w:p>
          <w:p w14:paraId="7C194826" w14:textId="05F9C5C6" w:rsidR="001F5072" w:rsidRPr="00636ECB" w:rsidRDefault="001F5072" w:rsidP="00446DAC">
            <w:pPr>
              <w:spacing w:after="0" w:line="259" w:lineRule="auto"/>
              <w:ind w:left="0" w:firstLine="0"/>
              <w:rPr>
                <w:b/>
                <w:bCs/>
                <w:sz w:val="20"/>
                <w:szCs w:val="20"/>
                <w:u w:val="single"/>
              </w:rPr>
            </w:pPr>
          </w:p>
        </w:tc>
      </w:tr>
      <w:tr w:rsidR="005460DC" w:rsidRPr="00636ECB" w14:paraId="7086D539" w14:textId="77777777" w:rsidTr="00C90443">
        <w:tc>
          <w:tcPr>
            <w:tcW w:w="9728" w:type="dxa"/>
            <w:shd w:val="clear" w:color="auto" w:fill="D9D9D9" w:themeFill="background1" w:themeFillShade="D9"/>
          </w:tcPr>
          <w:p w14:paraId="6F0F31A8" w14:textId="014EAE8D" w:rsidR="00446DAC" w:rsidRPr="00636ECB" w:rsidRDefault="00446DAC" w:rsidP="00446DAC">
            <w:pPr>
              <w:spacing w:after="0" w:line="259" w:lineRule="auto"/>
              <w:ind w:left="0" w:firstLine="0"/>
              <w:rPr>
                <w:b/>
                <w:bCs/>
                <w:sz w:val="20"/>
                <w:szCs w:val="20"/>
                <w:u w:val="single"/>
              </w:rPr>
            </w:pPr>
            <w:r w:rsidRPr="00636ECB">
              <w:rPr>
                <w:b/>
                <w:bCs/>
                <w:sz w:val="20"/>
                <w:szCs w:val="20"/>
                <w:u w:val="single"/>
              </w:rPr>
              <w:t>Background</w:t>
            </w:r>
          </w:p>
          <w:p w14:paraId="56DCD290" w14:textId="781DE9C2" w:rsidR="00446DAC" w:rsidRPr="00636ECB" w:rsidRDefault="00446DAC" w:rsidP="00EB3DDE">
            <w:pPr>
              <w:pStyle w:val="ListParagraph"/>
              <w:numPr>
                <w:ilvl w:val="0"/>
                <w:numId w:val="33"/>
              </w:numPr>
              <w:spacing w:after="0" w:line="259" w:lineRule="auto"/>
              <w:rPr>
                <w:sz w:val="20"/>
                <w:szCs w:val="20"/>
              </w:rPr>
            </w:pPr>
            <w:r w:rsidRPr="00636ECB">
              <w:rPr>
                <w:sz w:val="20"/>
                <w:szCs w:val="20"/>
              </w:rPr>
              <w:t xml:space="preserve">Explain </w:t>
            </w:r>
            <w:r w:rsidR="00217A46" w:rsidRPr="00636ECB">
              <w:rPr>
                <w:sz w:val="20"/>
                <w:szCs w:val="20"/>
              </w:rPr>
              <w:t>the</w:t>
            </w:r>
            <w:r w:rsidRPr="00636ECB">
              <w:rPr>
                <w:sz w:val="20"/>
                <w:szCs w:val="20"/>
              </w:rPr>
              <w:t xml:space="preserve"> nature of your organisation</w:t>
            </w:r>
            <w:r w:rsidR="001F5072" w:rsidRPr="00636ECB">
              <w:rPr>
                <w:sz w:val="20"/>
                <w:szCs w:val="20"/>
              </w:rPr>
              <w:t xml:space="preserve"> </w:t>
            </w:r>
            <w:r w:rsidR="00217A46" w:rsidRPr="00636ECB">
              <w:rPr>
                <w:sz w:val="20"/>
                <w:szCs w:val="20"/>
              </w:rPr>
              <w:t>including</w:t>
            </w:r>
            <w:r w:rsidR="00611D10">
              <w:rPr>
                <w:sz w:val="20"/>
                <w:szCs w:val="20"/>
              </w:rPr>
              <w:t xml:space="preserve"> legal</w:t>
            </w:r>
            <w:r w:rsidRPr="00636ECB">
              <w:rPr>
                <w:sz w:val="20"/>
                <w:szCs w:val="20"/>
              </w:rPr>
              <w:t xml:space="preserve"> status</w:t>
            </w:r>
            <w:r w:rsidR="00217A46" w:rsidRPr="00636ECB">
              <w:rPr>
                <w:sz w:val="20"/>
                <w:szCs w:val="20"/>
              </w:rPr>
              <w:t xml:space="preserve">, the </w:t>
            </w:r>
            <w:r w:rsidRPr="00636ECB">
              <w:rPr>
                <w:sz w:val="20"/>
                <w:szCs w:val="20"/>
              </w:rPr>
              <w:t>activities delivered</w:t>
            </w:r>
            <w:r w:rsidR="00217A46" w:rsidRPr="00636ECB">
              <w:rPr>
                <w:sz w:val="20"/>
                <w:szCs w:val="20"/>
              </w:rPr>
              <w:t xml:space="preserve"> and </w:t>
            </w:r>
            <w:r w:rsidR="00C12169" w:rsidRPr="00636ECB">
              <w:rPr>
                <w:sz w:val="20"/>
                <w:szCs w:val="20"/>
              </w:rPr>
              <w:t xml:space="preserve">links to </w:t>
            </w:r>
            <w:r w:rsidR="00217A46" w:rsidRPr="00636ECB">
              <w:rPr>
                <w:sz w:val="20"/>
                <w:szCs w:val="20"/>
              </w:rPr>
              <w:t xml:space="preserve">any </w:t>
            </w:r>
            <w:r w:rsidR="00C12169" w:rsidRPr="00636ECB">
              <w:rPr>
                <w:sz w:val="20"/>
                <w:szCs w:val="20"/>
              </w:rPr>
              <w:t>websites</w:t>
            </w:r>
            <w:r w:rsidR="00921FB9">
              <w:rPr>
                <w:sz w:val="20"/>
                <w:szCs w:val="20"/>
              </w:rPr>
              <w:t xml:space="preserve"> (max 200 words)</w:t>
            </w:r>
          </w:p>
        </w:tc>
      </w:tr>
      <w:tr w:rsidR="005460DC" w:rsidRPr="00636ECB" w14:paraId="70616C38" w14:textId="77777777" w:rsidTr="00C90443">
        <w:tc>
          <w:tcPr>
            <w:tcW w:w="9728" w:type="dxa"/>
          </w:tcPr>
          <w:p w14:paraId="66C7C95A" w14:textId="77777777" w:rsidR="005460DC" w:rsidRPr="00636ECB" w:rsidRDefault="005460DC" w:rsidP="00446DAC">
            <w:pPr>
              <w:spacing w:after="0" w:line="259" w:lineRule="auto"/>
              <w:rPr>
                <w:b/>
                <w:bCs/>
                <w:sz w:val="20"/>
                <w:szCs w:val="20"/>
                <w:u w:val="single"/>
              </w:rPr>
            </w:pPr>
          </w:p>
          <w:p w14:paraId="0AEB4C91" w14:textId="77777777" w:rsidR="00C32F4B" w:rsidRPr="00636ECB" w:rsidRDefault="00C32F4B" w:rsidP="00446DAC">
            <w:pPr>
              <w:spacing w:after="0" w:line="259" w:lineRule="auto"/>
              <w:rPr>
                <w:b/>
                <w:bCs/>
                <w:sz w:val="20"/>
                <w:szCs w:val="20"/>
                <w:u w:val="single"/>
              </w:rPr>
            </w:pPr>
          </w:p>
          <w:p w14:paraId="771A3A07" w14:textId="77777777" w:rsidR="00C32F4B" w:rsidRPr="00636ECB" w:rsidRDefault="00C32F4B" w:rsidP="00446DAC">
            <w:pPr>
              <w:spacing w:after="0" w:line="259" w:lineRule="auto"/>
              <w:rPr>
                <w:b/>
                <w:bCs/>
                <w:sz w:val="20"/>
                <w:szCs w:val="20"/>
                <w:u w:val="single"/>
              </w:rPr>
            </w:pPr>
          </w:p>
          <w:p w14:paraId="27C9615A" w14:textId="77777777" w:rsidR="00C32F4B" w:rsidRPr="00636ECB" w:rsidRDefault="00C32F4B" w:rsidP="00446DAC">
            <w:pPr>
              <w:spacing w:after="0" w:line="259" w:lineRule="auto"/>
              <w:rPr>
                <w:b/>
                <w:bCs/>
                <w:sz w:val="20"/>
                <w:szCs w:val="20"/>
                <w:u w:val="single"/>
              </w:rPr>
            </w:pPr>
          </w:p>
          <w:p w14:paraId="201A9B07" w14:textId="77777777" w:rsidR="00C32F4B" w:rsidRPr="00636ECB" w:rsidRDefault="00C32F4B" w:rsidP="00446DAC">
            <w:pPr>
              <w:spacing w:after="0" w:line="259" w:lineRule="auto"/>
              <w:rPr>
                <w:b/>
                <w:bCs/>
                <w:sz w:val="20"/>
                <w:szCs w:val="20"/>
                <w:u w:val="single"/>
              </w:rPr>
            </w:pPr>
          </w:p>
          <w:p w14:paraId="7B9F194A" w14:textId="77777777" w:rsidR="00C32F4B" w:rsidRPr="00636ECB" w:rsidRDefault="00C32F4B" w:rsidP="00446DAC">
            <w:pPr>
              <w:spacing w:after="0" w:line="259" w:lineRule="auto"/>
              <w:rPr>
                <w:b/>
                <w:bCs/>
                <w:sz w:val="20"/>
                <w:szCs w:val="20"/>
                <w:u w:val="single"/>
              </w:rPr>
            </w:pPr>
          </w:p>
          <w:p w14:paraId="333B127F" w14:textId="77777777" w:rsidR="00C32F4B" w:rsidRPr="00636ECB" w:rsidRDefault="00C32F4B" w:rsidP="00446DAC">
            <w:pPr>
              <w:spacing w:after="0" w:line="259" w:lineRule="auto"/>
              <w:rPr>
                <w:b/>
                <w:bCs/>
                <w:sz w:val="20"/>
                <w:szCs w:val="20"/>
                <w:u w:val="single"/>
              </w:rPr>
            </w:pPr>
          </w:p>
          <w:p w14:paraId="75BB3D46" w14:textId="77777777" w:rsidR="00C32F4B" w:rsidRPr="00636ECB" w:rsidRDefault="00C32F4B" w:rsidP="00446DAC">
            <w:pPr>
              <w:spacing w:after="0" w:line="259" w:lineRule="auto"/>
              <w:rPr>
                <w:b/>
                <w:bCs/>
                <w:sz w:val="20"/>
                <w:szCs w:val="20"/>
                <w:u w:val="single"/>
              </w:rPr>
            </w:pPr>
          </w:p>
          <w:p w14:paraId="4B57E714" w14:textId="77777777" w:rsidR="00C12169" w:rsidRPr="00636ECB" w:rsidRDefault="00C12169" w:rsidP="00446DAC">
            <w:pPr>
              <w:spacing w:after="0" w:line="259" w:lineRule="auto"/>
              <w:rPr>
                <w:b/>
                <w:bCs/>
                <w:sz w:val="20"/>
                <w:szCs w:val="20"/>
                <w:u w:val="single"/>
              </w:rPr>
            </w:pPr>
          </w:p>
          <w:p w14:paraId="30C04FAC" w14:textId="77777777" w:rsidR="00C12169" w:rsidRPr="00636ECB" w:rsidRDefault="00C12169" w:rsidP="00446DAC">
            <w:pPr>
              <w:spacing w:after="0" w:line="259" w:lineRule="auto"/>
              <w:rPr>
                <w:b/>
                <w:bCs/>
                <w:sz w:val="20"/>
                <w:szCs w:val="20"/>
                <w:u w:val="single"/>
              </w:rPr>
            </w:pPr>
          </w:p>
          <w:p w14:paraId="633B8AF7" w14:textId="77777777" w:rsidR="00C12169" w:rsidRPr="00636ECB" w:rsidRDefault="00C12169" w:rsidP="00446DAC">
            <w:pPr>
              <w:spacing w:after="0" w:line="259" w:lineRule="auto"/>
              <w:rPr>
                <w:b/>
                <w:bCs/>
                <w:sz w:val="20"/>
                <w:szCs w:val="20"/>
                <w:u w:val="single"/>
              </w:rPr>
            </w:pPr>
          </w:p>
          <w:p w14:paraId="7FAECFA8" w14:textId="7C4171E4" w:rsidR="00C32F4B" w:rsidRPr="00636ECB" w:rsidRDefault="00C32F4B" w:rsidP="00446DAC">
            <w:pPr>
              <w:spacing w:after="0" w:line="259" w:lineRule="auto"/>
              <w:rPr>
                <w:b/>
                <w:bCs/>
                <w:sz w:val="20"/>
                <w:szCs w:val="20"/>
                <w:u w:val="single"/>
              </w:rPr>
            </w:pPr>
          </w:p>
        </w:tc>
      </w:tr>
      <w:tr w:rsidR="005460DC" w:rsidRPr="00636ECB" w14:paraId="5B1E766F" w14:textId="77777777" w:rsidTr="00C90443">
        <w:tc>
          <w:tcPr>
            <w:tcW w:w="9728" w:type="dxa"/>
            <w:shd w:val="clear" w:color="auto" w:fill="D9D9D9" w:themeFill="background1" w:themeFillShade="D9"/>
          </w:tcPr>
          <w:p w14:paraId="53A82F78" w14:textId="4509AFF2" w:rsidR="00C12169" w:rsidRPr="00636ECB" w:rsidRDefault="00EB3DDE" w:rsidP="00EB3DDE">
            <w:pPr>
              <w:spacing w:after="0" w:line="259" w:lineRule="auto"/>
              <w:ind w:left="0" w:firstLine="0"/>
              <w:rPr>
                <w:b/>
                <w:bCs/>
                <w:sz w:val="20"/>
                <w:szCs w:val="20"/>
                <w:u w:val="single"/>
              </w:rPr>
            </w:pPr>
            <w:r w:rsidRPr="00636ECB">
              <w:rPr>
                <w:b/>
                <w:bCs/>
                <w:sz w:val="20"/>
                <w:szCs w:val="20"/>
                <w:u w:val="single"/>
              </w:rPr>
              <w:t>Project</w:t>
            </w:r>
          </w:p>
          <w:p w14:paraId="32CEE5C5" w14:textId="76D40E00" w:rsidR="00C12169" w:rsidRPr="00636ECB" w:rsidRDefault="00C12169" w:rsidP="00EB3DDE">
            <w:pPr>
              <w:spacing w:after="0" w:line="259" w:lineRule="auto"/>
              <w:ind w:left="0" w:firstLine="0"/>
              <w:rPr>
                <w:sz w:val="20"/>
                <w:szCs w:val="20"/>
              </w:rPr>
            </w:pPr>
            <w:r w:rsidRPr="00636ECB">
              <w:rPr>
                <w:sz w:val="20"/>
                <w:szCs w:val="20"/>
              </w:rPr>
              <w:t>Briefly explain:</w:t>
            </w:r>
          </w:p>
          <w:p w14:paraId="58D1F653" w14:textId="0BBB40A4" w:rsidR="00C12169" w:rsidRPr="00636ECB" w:rsidRDefault="00C12169" w:rsidP="00C12169">
            <w:pPr>
              <w:pStyle w:val="ListParagraph"/>
              <w:numPr>
                <w:ilvl w:val="0"/>
                <w:numId w:val="33"/>
              </w:numPr>
              <w:spacing w:after="0" w:line="259" w:lineRule="auto"/>
              <w:rPr>
                <w:sz w:val="20"/>
                <w:szCs w:val="20"/>
              </w:rPr>
            </w:pPr>
            <w:r w:rsidRPr="00636ECB">
              <w:rPr>
                <w:sz w:val="20"/>
                <w:szCs w:val="20"/>
              </w:rPr>
              <w:t xml:space="preserve">the </w:t>
            </w:r>
            <w:r w:rsidR="00EB3DDE" w:rsidRPr="00636ECB">
              <w:rPr>
                <w:sz w:val="20"/>
                <w:szCs w:val="20"/>
              </w:rPr>
              <w:t>project you are requesting funding for and which of</w:t>
            </w:r>
            <w:r w:rsidR="00653E76" w:rsidRPr="00636ECB">
              <w:rPr>
                <w:sz w:val="20"/>
                <w:szCs w:val="20"/>
              </w:rPr>
              <w:t xml:space="preserve"> the</w:t>
            </w:r>
            <w:r w:rsidR="00EB3DDE" w:rsidRPr="00636ECB">
              <w:rPr>
                <w:sz w:val="20"/>
                <w:szCs w:val="20"/>
              </w:rPr>
              <w:t xml:space="preserve"> three funding themes it aligns to.</w:t>
            </w:r>
          </w:p>
          <w:p w14:paraId="307DBBEC" w14:textId="685742C3" w:rsidR="0048473A" w:rsidRPr="00636ECB" w:rsidRDefault="0048473A" w:rsidP="00C12169">
            <w:pPr>
              <w:pStyle w:val="ListParagraph"/>
              <w:numPr>
                <w:ilvl w:val="0"/>
                <w:numId w:val="33"/>
              </w:numPr>
              <w:spacing w:after="0" w:line="259" w:lineRule="auto"/>
              <w:rPr>
                <w:sz w:val="20"/>
                <w:szCs w:val="20"/>
              </w:rPr>
            </w:pPr>
            <w:r w:rsidRPr="00636ECB">
              <w:rPr>
                <w:sz w:val="20"/>
                <w:szCs w:val="20"/>
              </w:rPr>
              <w:t>the amount to be requested from us and the amount of match-funding secured.</w:t>
            </w:r>
          </w:p>
          <w:p w14:paraId="4C812AB4" w14:textId="77777777" w:rsidR="00636ECB" w:rsidRDefault="00636ECB" w:rsidP="00636ECB">
            <w:pPr>
              <w:pStyle w:val="ListParagraph"/>
              <w:numPr>
                <w:ilvl w:val="0"/>
                <w:numId w:val="33"/>
              </w:numPr>
              <w:spacing w:after="0" w:line="259" w:lineRule="auto"/>
              <w:rPr>
                <w:sz w:val="20"/>
                <w:szCs w:val="20"/>
              </w:rPr>
            </w:pPr>
            <w:r w:rsidRPr="00636ECB">
              <w:rPr>
                <w:sz w:val="20"/>
                <w:szCs w:val="20"/>
              </w:rPr>
              <w:t xml:space="preserve">the </w:t>
            </w:r>
            <w:r w:rsidR="00BD45BA">
              <w:rPr>
                <w:sz w:val="20"/>
                <w:szCs w:val="20"/>
              </w:rPr>
              <w:t xml:space="preserve">current </w:t>
            </w:r>
            <w:r w:rsidRPr="00636ECB">
              <w:rPr>
                <w:sz w:val="20"/>
                <w:szCs w:val="20"/>
              </w:rPr>
              <w:t>status with obtaining planning permission, if applicable to your project.</w:t>
            </w:r>
          </w:p>
          <w:p w14:paraId="64819AD9" w14:textId="12DD8D83" w:rsidR="00921FB9" w:rsidRPr="00921FB9" w:rsidRDefault="00921FB9" w:rsidP="00921FB9">
            <w:pPr>
              <w:spacing w:after="0" w:line="259" w:lineRule="auto"/>
              <w:rPr>
                <w:sz w:val="20"/>
                <w:szCs w:val="20"/>
              </w:rPr>
            </w:pPr>
            <w:r>
              <w:rPr>
                <w:sz w:val="20"/>
                <w:szCs w:val="20"/>
              </w:rPr>
              <w:t>(max 3</w:t>
            </w:r>
            <w:r w:rsidR="00C62C0C">
              <w:rPr>
                <w:sz w:val="20"/>
                <w:szCs w:val="20"/>
              </w:rPr>
              <w:t>0</w:t>
            </w:r>
            <w:r>
              <w:rPr>
                <w:sz w:val="20"/>
                <w:szCs w:val="20"/>
              </w:rPr>
              <w:t>0 words)</w:t>
            </w:r>
          </w:p>
        </w:tc>
      </w:tr>
      <w:tr w:rsidR="005460DC" w:rsidRPr="00636ECB" w14:paraId="692558D0" w14:textId="77777777" w:rsidTr="00C90443">
        <w:tc>
          <w:tcPr>
            <w:tcW w:w="9728" w:type="dxa"/>
          </w:tcPr>
          <w:p w14:paraId="5635D84F" w14:textId="77777777" w:rsidR="005460DC" w:rsidRPr="00636ECB" w:rsidRDefault="005460DC" w:rsidP="005460DC">
            <w:pPr>
              <w:spacing w:after="0" w:line="259" w:lineRule="auto"/>
              <w:ind w:left="0" w:firstLine="0"/>
              <w:jc w:val="center"/>
              <w:rPr>
                <w:b/>
                <w:bCs/>
                <w:sz w:val="20"/>
                <w:szCs w:val="20"/>
                <w:u w:val="single"/>
              </w:rPr>
            </w:pPr>
          </w:p>
          <w:p w14:paraId="5744785C" w14:textId="77777777" w:rsidR="00C90443" w:rsidRPr="00636ECB" w:rsidRDefault="00C90443" w:rsidP="005460DC">
            <w:pPr>
              <w:spacing w:after="0" w:line="259" w:lineRule="auto"/>
              <w:ind w:left="0" w:firstLine="0"/>
              <w:jc w:val="center"/>
              <w:rPr>
                <w:b/>
                <w:bCs/>
                <w:sz w:val="20"/>
                <w:szCs w:val="20"/>
                <w:u w:val="single"/>
              </w:rPr>
            </w:pPr>
          </w:p>
          <w:p w14:paraId="0286BD0C" w14:textId="77777777" w:rsidR="00C90443" w:rsidRPr="00636ECB" w:rsidRDefault="00C90443" w:rsidP="005460DC">
            <w:pPr>
              <w:spacing w:after="0" w:line="259" w:lineRule="auto"/>
              <w:ind w:left="0" w:firstLine="0"/>
              <w:jc w:val="center"/>
              <w:rPr>
                <w:b/>
                <w:bCs/>
                <w:sz w:val="20"/>
                <w:szCs w:val="20"/>
                <w:u w:val="single"/>
              </w:rPr>
            </w:pPr>
          </w:p>
          <w:p w14:paraId="10DD518E" w14:textId="77777777" w:rsidR="00C90443" w:rsidRPr="00636ECB" w:rsidRDefault="00C90443" w:rsidP="005460DC">
            <w:pPr>
              <w:spacing w:after="0" w:line="259" w:lineRule="auto"/>
              <w:ind w:left="0" w:firstLine="0"/>
              <w:jc w:val="center"/>
              <w:rPr>
                <w:b/>
                <w:bCs/>
                <w:sz w:val="20"/>
                <w:szCs w:val="20"/>
                <w:u w:val="single"/>
              </w:rPr>
            </w:pPr>
          </w:p>
          <w:p w14:paraId="13D2FCA9" w14:textId="77777777" w:rsidR="00C90443" w:rsidRPr="00636ECB" w:rsidRDefault="00C90443" w:rsidP="005460DC">
            <w:pPr>
              <w:spacing w:after="0" w:line="259" w:lineRule="auto"/>
              <w:ind w:left="0" w:firstLine="0"/>
              <w:jc w:val="center"/>
              <w:rPr>
                <w:b/>
                <w:bCs/>
                <w:sz w:val="20"/>
                <w:szCs w:val="20"/>
                <w:u w:val="single"/>
              </w:rPr>
            </w:pPr>
          </w:p>
          <w:p w14:paraId="749DA1DE" w14:textId="77777777" w:rsidR="00C90443" w:rsidRPr="00636ECB" w:rsidRDefault="00C90443" w:rsidP="005460DC">
            <w:pPr>
              <w:spacing w:after="0" w:line="259" w:lineRule="auto"/>
              <w:ind w:left="0" w:firstLine="0"/>
              <w:jc w:val="center"/>
              <w:rPr>
                <w:b/>
                <w:bCs/>
                <w:sz w:val="20"/>
                <w:szCs w:val="20"/>
                <w:u w:val="single"/>
              </w:rPr>
            </w:pPr>
          </w:p>
          <w:p w14:paraId="66713887" w14:textId="77777777" w:rsidR="00C90443" w:rsidRPr="00636ECB" w:rsidRDefault="00C90443" w:rsidP="005460DC">
            <w:pPr>
              <w:spacing w:after="0" w:line="259" w:lineRule="auto"/>
              <w:ind w:left="0" w:firstLine="0"/>
              <w:jc w:val="center"/>
              <w:rPr>
                <w:b/>
                <w:bCs/>
                <w:sz w:val="20"/>
                <w:szCs w:val="20"/>
                <w:u w:val="single"/>
              </w:rPr>
            </w:pPr>
          </w:p>
          <w:p w14:paraId="2E64B4E2" w14:textId="77777777" w:rsidR="00C90443" w:rsidRPr="00636ECB" w:rsidRDefault="00C90443" w:rsidP="005460DC">
            <w:pPr>
              <w:spacing w:after="0" w:line="259" w:lineRule="auto"/>
              <w:ind w:left="0" w:firstLine="0"/>
              <w:jc w:val="center"/>
              <w:rPr>
                <w:b/>
                <w:bCs/>
                <w:sz w:val="20"/>
                <w:szCs w:val="20"/>
                <w:u w:val="single"/>
              </w:rPr>
            </w:pPr>
          </w:p>
          <w:p w14:paraId="7C235FE7" w14:textId="77777777" w:rsidR="00C90443" w:rsidRPr="00636ECB" w:rsidRDefault="00C90443" w:rsidP="005460DC">
            <w:pPr>
              <w:spacing w:after="0" w:line="259" w:lineRule="auto"/>
              <w:ind w:left="0" w:firstLine="0"/>
              <w:jc w:val="center"/>
              <w:rPr>
                <w:b/>
                <w:bCs/>
                <w:sz w:val="20"/>
                <w:szCs w:val="20"/>
                <w:u w:val="single"/>
              </w:rPr>
            </w:pPr>
          </w:p>
          <w:p w14:paraId="7F30FCAB" w14:textId="77777777" w:rsidR="00C90443" w:rsidRPr="00636ECB" w:rsidRDefault="00C90443" w:rsidP="005460DC">
            <w:pPr>
              <w:spacing w:after="0" w:line="259" w:lineRule="auto"/>
              <w:ind w:left="0" w:firstLine="0"/>
              <w:jc w:val="center"/>
              <w:rPr>
                <w:b/>
                <w:bCs/>
                <w:sz w:val="20"/>
                <w:szCs w:val="20"/>
                <w:u w:val="single"/>
              </w:rPr>
            </w:pPr>
          </w:p>
          <w:p w14:paraId="3E664948" w14:textId="77777777" w:rsidR="00C90443" w:rsidRDefault="00C90443" w:rsidP="005460DC">
            <w:pPr>
              <w:spacing w:after="0" w:line="259" w:lineRule="auto"/>
              <w:ind w:left="0" w:firstLine="0"/>
              <w:jc w:val="center"/>
              <w:rPr>
                <w:b/>
                <w:bCs/>
                <w:sz w:val="20"/>
                <w:szCs w:val="20"/>
                <w:u w:val="single"/>
              </w:rPr>
            </w:pPr>
          </w:p>
          <w:p w14:paraId="63254AD4" w14:textId="77777777" w:rsidR="00636ECB" w:rsidRDefault="00636ECB" w:rsidP="005460DC">
            <w:pPr>
              <w:spacing w:after="0" w:line="259" w:lineRule="auto"/>
              <w:ind w:left="0" w:firstLine="0"/>
              <w:jc w:val="center"/>
              <w:rPr>
                <w:b/>
                <w:bCs/>
                <w:sz w:val="20"/>
                <w:szCs w:val="20"/>
                <w:u w:val="single"/>
              </w:rPr>
            </w:pPr>
          </w:p>
          <w:p w14:paraId="2CB15099" w14:textId="77777777" w:rsidR="00636ECB" w:rsidRDefault="00636ECB" w:rsidP="005460DC">
            <w:pPr>
              <w:spacing w:after="0" w:line="259" w:lineRule="auto"/>
              <w:ind w:left="0" w:firstLine="0"/>
              <w:jc w:val="center"/>
              <w:rPr>
                <w:b/>
                <w:bCs/>
                <w:sz w:val="20"/>
                <w:szCs w:val="20"/>
                <w:u w:val="single"/>
              </w:rPr>
            </w:pPr>
          </w:p>
          <w:p w14:paraId="74223098" w14:textId="77777777" w:rsidR="00636ECB" w:rsidRDefault="00636ECB" w:rsidP="005460DC">
            <w:pPr>
              <w:spacing w:after="0" w:line="259" w:lineRule="auto"/>
              <w:ind w:left="0" w:firstLine="0"/>
              <w:jc w:val="center"/>
              <w:rPr>
                <w:b/>
                <w:bCs/>
                <w:sz w:val="20"/>
                <w:szCs w:val="20"/>
                <w:u w:val="single"/>
              </w:rPr>
            </w:pPr>
          </w:p>
          <w:p w14:paraId="03F0B059" w14:textId="77777777" w:rsidR="00636ECB" w:rsidRDefault="00636ECB" w:rsidP="005460DC">
            <w:pPr>
              <w:spacing w:after="0" w:line="259" w:lineRule="auto"/>
              <w:ind w:left="0" w:firstLine="0"/>
              <w:jc w:val="center"/>
              <w:rPr>
                <w:b/>
                <w:bCs/>
                <w:sz w:val="20"/>
                <w:szCs w:val="20"/>
                <w:u w:val="single"/>
              </w:rPr>
            </w:pPr>
          </w:p>
          <w:p w14:paraId="68044CD9" w14:textId="77777777" w:rsidR="00636ECB" w:rsidRDefault="00636ECB" w:rsidP="005460DC">
            <w:pPr>
              <w:spacing w:after="0" w:line="259" w:lineRule="auto"/>
              <w:ind w:left="0" w:firstLine="0"/>
              <w:jc w:val="center"/>
              <w:rPr>
                <w:b/>
                <w:bCs/>
                <w:sz w:val="20"/>
                <w:szCs w:val="20"/>
                <w:u w:val="single"/>
              </w:rPr>
            </w:pPr>
          </w:p>
          <w:p w14:paraId="24DB4CFF" w14:textId="77777777" w:rsidR="00636ECB" w:rsidRPr="00636ECB" w:rsidRDefault="00636ECB" w:rsidP="00636ECB">
            <w:pPr>
              <w:spacing w:after="0" w:line="259" w:lineRule="auto"/>
              <w:ind w:left="0" w:firstLine="0"/>
              <w:rPr>
                <w:b/>
                <w:bCs/>
                <w:sz w:val="20"/>
                <w:szCs w:val="20"/>
                <w:u w:val="single"/>
              </w:rPr>
            </w:pPr>
          </w:p>
          <w:p w14:paraId="6C04C944" w14:textId="77777777" w:rsidR="00C90443" w:rsidRPr="00636ECB" w:rsidRDefault="00C90443" w:rsidP="005460DC">
            <w:pPr>
              <w:spacing w:after="0" w:line="259" w:lineRule="auto"/>
              <w:ind w:left="0" w:firstLine="0"/>
              <w:jc w:val="center"/>
              <w:rPr>
                <w:b/>
                <w:bCs/>
                <w:sz w:val="20"/>
                <w:szCs w:val="20"/>
                <w:u w:val="single"/>
              </w:rPr>
            </w:pPr>
          </w:p>
          <w:p w14:paraId="314AA965" w14:textId="77777777" w:rsidR="00C90443" w:rsidRPr="00636ECB" w:rsidRDefault="00C90443" w:rsidP="005460DC">
            <w:pPr>
              <w:spacing w:after="0" w:line="259" w:lineRule="auto"/>
              <w:ind w:left="0" w:firstLine="0"/>
              <w:jc w:val="center"/>
              <w:rPr>
                <w:b/>
                <w:bCs/>
                <w:sz w:val="20"/>
                <w:szCs w:val="20"/>
                <w:u w:val="single"/>
              </w:rPr>
            </w:pPr>
          </w:p>
          <w:p w14:paraId="3AB266FA" w14:textId="0EAA2B45" w:rsidR="00C90443" w:rsidRPr="00636ECB" w:rsidRDefault="00C90443" w:rsidP="005460DC">
            <w:pPr>
              <w:spacing w:after="0" w:line="259" w:lineRule="auto"/>
              <w:ind w:left="0" w:firstLine="0"/>
              <w:jc w:val="center"/>
              <w:rPr>
                <w:b/>
                <w:bCs/>
                <w:sz w:val="20"/>
                <w:szCs w:val="20"/>
                <w:u w:val="single"/>
              </w:rPr>
            </w:pPr>
          </w:p>
        </w:tc>
      </w:tr>
    </w:tbl>
    <w:p w14:paraId="3582CE75" w14:textId="77777777" w:rsidR="005460DC" w:rsidRPr="00636ECB" w:rsidRDefault="005460DC" w:rsidP="005460DC">
      <w:pPr>
        <w:spacing w:after="0" w:line="259" w:lineRule="auto"/>
        <w:jc w:val="center"/>
        <w:rPr>
          <w:b/>
          <w:bCs/>
          <w:sz w:val="20"/>
          <w:szCs w:val="20"/>
          <w:u w:val="single"/>
        </w:rPr>
      </w:pPr>
    </w:p>
    <w:p w14:paraId="4099421B" w14:textId="2959D39E" w:rsidR="00636ECB" w:rsidRPr="00636ECB" w:rsidRDefault="00636ECB" w:rsidP="005460DC">
      <w:pPr>
        <w:spacing w:after="0" w:line="259" w:lineRule="auto"/>
        <w:jc w:val="center"/>
        <w:rPr>
          <w:b/>
          <w:bCs/>
          <w:sz w:val="20"/>
          <w:szCs w:val="20"/>
          <w:u w:val="single"/>
        </w:rPr>
      </w:pPr>
      <w:r w:rsidRPr="00636ECB">
        <w:rPr>
          <w:b/>
          <w:bCs/>
          <w:sz w:val="20"/>
          <w:szCs w:val="20"/>
          <w:u w:val="single"/>
        </w:rPr>
        <w:t>END</w:t>
      </w:r>
    </w:p>
    <w:p w14:paraId="619694FB" w14:textId="1133C1A1" w:rsidR="005460DC" w:rsidRPr="00636ECB" w:rsidRDefault="005460DC" w:rsidP="00636ECB">
      <w:pPr>
        <w:spacing w:after="0" w:line="259" w:lineRule="auto"/>
        <w:ind w:left="0" w:firstLine="0"/>
        <w:rPr>
          <w:b/>
          <w:bCs/>
          <w:sz w:val="20"/>
          <w:szCs w:val="20"/>
          <w:u w:val="single"/>
        </w:rPr>
        <w:sectPr w:rsidR="005460DC" w:rsidRPr="00636ECB">
          <w:footerReference w:type="even" r:id="rId44"/>
          <w:footerReference w:type="default" r:id="rId45"/>
          <w:footerReference w:type="first" r:id="rId46"/>
          <w:pgSz w:w="11906" w:h="16838"/>
          <w:pgMar w:top="1432" w:right="1080" w:bottom="1483" w:left="1078" w:header="720" w:footer="717" w:gutter="0"/>
          <w:cols w:space="720"/>
        </w:sectPr>
      </w:pPr>
    </w:p>
    <w:p w14:paraId="323A5374" w14:textId="44B03924" w:rsidR="007318AE" w:rsidRDefault="007318AE" w:rsidP="00383868">
      <w:pPr>
        <w:pStyle w:val="Heading1"/>
        <w:jc w:val="left"/>
      </w:pPr>
    </w:p>
    <w:sectPr w:rsidR="007318AE">
      <w:footerReference w:type="even" r:id="rId47"/>
      <w:footerReference w:type="default" r:id="rId48"/>
      <w:footerReference w:type="first" r:id="rId49"/>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F837" w14:textId="77777777" w:rsidR="00A13911" w:rsidRDefault="006D5EEA">
      <w:pPr>
        <w:spacing w:after="0" w:line="240" w:lineRule="auto"/>
      </w:pPr>
      <w:r>
        <w:separator/>
      </w:r>
    </w:p>
  </w:endnote>
  <w:endnote w:type="continuationSeparator" w:id="0">
    <w:p w14:paraId="21BE74DF" w14:textId="77777777" w:rsidR="00A13911" w:rsidRDefault="006D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598E" w14:textId="77777777" w:rsidR="007318AE" w:rsidRDefault="006D5EEA">
    <w:pPr>
      <w:tabs>
        <w:tab w:val="center" w:pos="4153"/>
        <w:tab w:val="center" w:pos="4992"/>
      </w:tabs>
      <w:spacing w:after="0" w:line="259" w:lineRule="auto"/>
      <w:ind w:left="0" w:firstLine="0"/>
    </w:pPr>
    <w:r>
      <w:rPr>
        <w:rFonts w:ascii="Calibri" w:eastAsia="Calibri" w:hAnsi="Calibri" w:cs="Calibri"/>
        <w:sz w:val="20"/>
      </w:rPr>
      <w:t xml:space="preserve">Rural Community Grants Guidance </w:t>
    </w:r>
    <w:r>
      <w:rPr>
        <w:rFonts w:ascii="Calibri" w:eastAsia="Calibri" w:hAnsi="Calibri" w:cs="Calibri"/>
        <w:sz w:val="20"/>
      </w:rPr>
      <w:tab/>
      <w:t xml:space="preserve">  </w:t>
    </w:r>
    <w:r>
      <w:rPr>
        <w:rFonts w:ascii="Calibri" w:eastAsia="Calibri" w:hAnsi="Calibri" w:cs="Calibri"/>
        <w:sz w:val="20"/>
      </w:rPr>
      <w:tab/>
      <w:t xml:space="preserve">Page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w:t>
    </w:r>
    <w:r w:rsidR="009E2AEB">
      <w:fldChar w:fldCharType="begin"/>
    </w:r>
    <w:r w:rsidR="009E2AEB">
      <w:instrText xml:space="preserve"> NUMPAGES   \* MERGEFORMAT </w:instrText>
    </w:r>
    <w:r w:rsidR="009E2AEB">
      <w:fldChar w:fldCharType="separate"/>
    </w:r>
    <w:r>
      <w:rPr>
        <w:rFonts w:ascii="Calibri" w:eastAsia="Calibri" w:hAnsi="Calibri" w:cs="Calibri"/>
        <w:sz w:val="20"/>
      </w:rPr>
      <w:t>8</w:t>
    </w:r>
    <w:r w:rsidR="009E2AEB">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777E" w14:textId="2E98C997" w:rsidR="007318AE" w:rsidRPr="00286804" w:rsidRDefault="00286804">
    <w:pPr>
      <w:tabs>
        <w:tab w:val="center" w:pos="4153"/>
        <w:tab w:val="center" w:pos="4992"/>
      </w:tabs>
      <w:spacing w:after="0" w:line="259" w:lineRule="auto"/>
      <w:ind w:left="0" w:firstLine="0"/>
      <w:rPr>
        <w:rFonts w:ascii="Calibri" w:eastAsia="Calibri" w:hAnsi="Calibri" w:cs="Calibri"/>
        <w:sz w:val="20"/>
      </w:rPr>
    </w:pPr>
    <w:r>
      <w:rPr>
        <w:rFonts w:ascii="Calibri" w:eastAsia="Calibri" w:hAnsi="Calibri" w:cs="Calibri"/>
        <w:sz w:val="20"/>
      </w:rPr>
      <w:t>24-25 Call for Projects Guidance</w:t>
    </w:r>
    <w:r w:rsidR="006D5EEA">
      <w:rPr>
        <w:rFonts w:ascii="Calibri" w:eastAsia="Calibri" w:hAnsi="Calibri" w:cs="Calibri"/>
        <w:sz w:val="20"/>
      </w:rPr>
      <w:tab/>
      <w:t xml:space="preserve">  </w:t>
    </w:r>
    <w:r w:rsidR="006D5EEA">
      <w:rPr>
        <w:rFonts w:ascii="Calibri" w:eastAsia="Calibri" w:hAnsi="Calibri" w:cs="Calibri"/>
        <w:sz w:val="20"/>
      </w:rPr>
      <w:tab/>
      <w:t xml:space="preserve">Page </w:t>
    </w:r>
    <w:r w:rsidR="006D5EEA">
      <w:fldChar w:fldCharType="begin"/>
    </w:r>
    <w:r w:rsidR="006D5EEA">
      <w:instrText xml:space="preserve"> PAGE   \* MERGEFORMAT </w:instrText>
    </w:r>
    <w:r w:rsidR="006D5EEA">
      <w:fldChar w:fldCharType="separate"/>
    </w:r>
    <w:r w:rsidR="006D5EEA">
      <w:rPr>
        <w:rFonts w:ascii="Calibri" w:eastAsia="Calibri" w:hAnsi="Calibri" w:cs="Calibri"/>
        <w:sz w:val="20"/>
      </w:rPr>
      <w:t>1</w:t>
    </w:r>
    <w:r w:rsidR="006D5EEA">
      <w:rPr>
        <w:rFonts w:ascii="Calibri" w:eastAsia="Calibri" w:hAnsi="Calibri" w:cs="Calibri"/>
        <w:sz w:val="20"/>
      </w:rPr>
      <w:fldChar w:fldCharType="end"/>
    </w:r>
    <w:r w:rsidR="006D5EEA">
      <w:rPr>
        <w:rFonts w:ascii="Calibri" w:eastAsia="Calibri" w:hAnsi="Calibri" w:cs="Calibri"/>
        <w:sz w:val="20"/>
      </w:rPr>
      <w:t xml:space="preserve"> of </w:t>
    </w:r>
    <w:r w:rsidR="009E2AEB">
      <w:fldChar w:fldCharType="begin"/>
    </w:r>
    <w:r w:rsidR="009E2AEB">
      <w:instrText xml:space="preserve"> NUMPAGES   \* MERGEFORMAT </w:instrText>
    </w:r>
    <w:r w:rsidR="009E2AEB">
      <w:fldChar w:fldCharType="separate"/>
    </w:r>
    <w:r w:rsidR="006D5EEA">
      <w:rPr>
        <w:rFonts w:ascii="Calibri" w:eastAsia="Calibri" w:hAnsi="Calibri" w:cs="Calibri"/>
        <w:sz w:val="20"/>
      </w:rPr>
      <w:t>8</w:t>
    </w:r>
    <w:r w:rsidR="009E2AEB">
      <w:rPr>
        <w:rFonts w:ascii="Calibri" w:eastAsia="Calibri" w:hAnsi="Calibri" w:cs="Calibri"/>
        <w:sz w:val="20"/>
      </w:rPr>
      <w:fldChar w:fldCharType="end"/>
    </w:r>
    <w:r w:rsidR="006D5EEA">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7B0" w14:textId="77777777" w:rsidR="007318AE" w:rsidRDefault="006D5EEA">
    <w:pPr>
      <w:tabs>
        <w:tab w:val="center" w:pos="4153"/>
        <w:tab w:val="center" w:pos="4992"/>
      </w:tabs>
      <w:spacing w:after="0" w:line="259" w:lineRule="auto"/>
      <w:ind w:left="0" w:firstLine="0"/>
    </w:pPr>
    <w:r>
      <w:rPr>
        <w:rFonts w:ascii="Calibri" w:eastAsia="Calibri" w:hAnsi="Calibri" w:cs="Calibri"/>
        <w:sz w:val="20"/>
      </w:rPr>
      <w:t xml:space="preserve">Rural Community Grants Guidance </w:t>
    </w:r>
    <w:r>
      <w:rPr>
        <w:rFonts w:ascii="Calibri" w:eastAsia="Calibri" w:hAnsi="Calibri" w:cs="Calibri"/>
        <w:sz w:val="20"/>
      </w:rPr>
      <w:tab/>
      <w:t xml:space="preserve">  </w:t>
    </w:r>
    <w:r>
      <w:rPr>
        <w:rFonts w:ascii="Calibri" w:eastAsia="Calibri" w:hAnsi="Calibri" w:cs="Calibri"/>
        <w:sz w:val="20"/>
      </w:rPr>
      <w:tab/>
      <w:t xml:space="preserve">Page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of </w:t>
    </w:r>
    <w:r w:rsidR="009E2AEB">
      <w:fldChar w:fldCharType="begin"/>
    </w:r>
    <w:r w:rsidR="009E2AEB">
      <w:instrText xml:space="preserve"> NUMPAGES   \* MERGEFORMAT </w:instrText>
    </w:r>
    <w:r w:rsidR="009E2AEB">
      <w:fldChar w:fldCharType="separate"/>
    </w:r>
    <w:r>
      <w:rPr>
        <w:rFonts w:ascii="Calibri" w:eastAsia="Calibri" w:hAnsi="Calibri" w:cs="Calibri"/>
        <w:sz w:val="20"/>
      </w:rPr>
      <w:t>8</w:t>
    </w:r>
    <w:r w:rsidR="009E2AEB">
      <w:rPr>
        <w:rFonts w:ascii="Calibri" w:eastAsia="Calibri" w:hAnsi="Calibri" w:cs="Calibri"/>
        <w:sz w:val="20"/>
      </w:rPr>
      <w:fldChar w:fldCharType="end"/>
    </w:r>
    <w:r>
      <w:rPr>
        <w:rFonts w:ascii="Calibri" w:eastAsia="Calibri" w:hAnsi="Calibri" w:cs="Calibri"/>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0F7" w14:textId="77777777" w:rsidR="007318AE" w:rsidRDefault="007318AE">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EB36" w14:textId="77777777" w:rsidR="007318AE" w:rsidRDefault="007318AE">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7BC4" w14:textId="77777777" w:rsidR="007318AE" w:rsidRDefault="007318A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6CDD" w14:textId="77777777" w:rsidR="00A13911" w:rsidRDefault="006D5EEA">
      <w:pPr>
        <w:spacing w:after="0" w:line="240" w:lineRule="auto"/>
      </w:pPr>
      <w:r>
        <w:separator/>
      </w:r>
    </w:p>
  </w:footnote>
  <w:footnote w:type="continuationSeparator" w:id="0">
    <w:p w14:paraId="1275E3E3" w14:textId="77777777" w:rsidR="00A13911" w:rsidRDefault="006D5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DA8"/>
    <w:multiLevelType w:val="multilevel"/>
    <w:tmpl w:val="EE5E50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432193"/>
    <w:multiLevelType w:val="multilevel"/>
    <w:tmpl w:val="8012B75E"/>
    <w:lvl w:ilvl="0">
      <w:start w:val="4"/>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7B0454"/>
    <w:multiLevelType w:val="multilevel"/>
    <w:tmpl w:val="984C1D64"/>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D411A"/>
    <w:multiLevelType w:val="multilevel"/>
    <w:tmpl w:val="995AA72E"/>
    <w:lvl w:ilvl="0">
      <w:start w:val="6"/>
      <w:numFmt w:val="decimal"/>
      <w:lvlText w:val="%1.0"/>
      <w:lvlJc w:val="left"/>
      <w:pPr>
        <w:ind w:left="786" w:hanging="360"/>
      </w:pPr>
      <w:rPr>
        <w:rFonts w:hint="default"/>
        <w:b/>
        <w:bCs w:val="0"/>
      </w:rPr>
    </w:lvl>
    <w:lvl w:ilvl="1">
      <w:start w:val="1"/>
      <w:numFmt w:val="decimal"/>
      <w:lvlText w:val="%1.%2"/>
      <w:lvlJc w:val="left"/>
      <w:pPr>
        <w:ind w:left="1506" w:hanging="360"/>
      </w:pPr>
      <w:rPr>
        <w:rFonts w:hint="default"/>
        <w:b w:val="0"/>
        <w:bCs/>
      </w:rPr>
    </w:lvl>
    <w:lvl w:ilvl="2">
      <w:start w:val="1"/>
      <w:numFmt w:val="decimal"/>
      <w:lvlText w:val="%1.%2.%3"/>
      <w:lvlJc w:val="left"/>
      <w:pPr>
        <w:ind w:left="2586" w:hanging="720"/>
      </w:pPr>
      <w:rPr>
        <w:rFonts w:hint="default"/>
        <w:b/>
      </w:rPr>
    </w:lvl>
    <w:lvl w:ilvl="3">
      <w:start w:val="1"/>
      <w:numFmt w:val="decimal"/>
      <w:lvlText w:val="%1.%2.%3.%4"/>
      <w:lvlJc w:val="left"/>
      <w:pPr>
        <w:ind w:left="3306" w:hanging="720"/>
      </w:pPr>
      <w:rPr>
        <w:rFonts w:hint="default"/>
        <w:b/>
      </w:rPr>
    </w:lvl>
    <w:lvl w:ilvl="4">
      <w:start w:val="1"/>
      <w:numFmt w:val="decimal"/>
      <w:lvlText w:val="%1.%2.%3.%4.%5"/>
      <w:lvlJc w:val="left"/>
      <w:pPr>
        <w:ind w:left="4386" w:hanging="1080"/>
      </w:pPr>
      <w:rPr>
        <w:rFonts w:hint="default"/>
        <w:b/>
      </w:rPr>
    </w:lvl>
    <w:lvl w:ilvl="5">
      <w:start w:val="1"/>
      <w:numFmt w:val="decimal"/>
      <w:lvlText w:val="%1.%2.%3.%4.%5.%6"/>
      <w:lvlJc w:val="left"/>
      <w:pPr>
        <w:ind w:left="5106" w:hanging="1080"/>
      </w:pPr>
      <w:rPr>
        <w:rFonts w:hint="default"/>
        <w:b/>
      </w:rPr>
    </w:lvl>
    <w:lvl w:ilvl="6">
      <w:start w:val="1"/>
      <w:numFmt w:val="decimal"/>
      <w:lvlText w:val="%1.%2.%3.%4.%5.%6.%7"/>
      <w:lvlJc w:val="left"/>
      <w:pPr>
        <w:ind w:left="6186" w:hanging="1440"/>
      </w:pPr>
      <w:rPr>
        <w:rFonts w:hint="default"/>
        <w:b/>
      </w:rPr>
    </w:lvl>
    <w:lvl w:ilvl="7">
      <w:start w:val="1"/>
      <w:numFmt w:val="decimal"/>
      <w:lvlText w:val="%1.%2.%3.%4.%5.%6.%7.%8"/>
      <w:lvlJc w:val="left"/>
      <w:pPr>
        <w:ind w:left="6906" w:hanging="1440"/>
      </w:pPr>
      <w:rPr>
        <w:rFonts w:hint="default"/>
        <w:b/>
      </w:rPr>
    </w:lvl>
    <w:lvl w:ilvl="8">
      <w:start w:val="1"/>
      <w:numFmt w:val="decimal"/>
      <w:lvlText w:val="%1.%2.%3.%4.%5.%6.%7.%8.%9"/>
      <w:lvlJc w:val="left"/>
      <w:pPr>
        <w:ind w:left="7986" w:hanging="1800"/>
      </w:pPr>
      <w:rPr>
        <w:rFonts w:hint="default"/>
        <w:b/>
      </w:rPr>
    </w:lvl>
  </w:abstractNum>
  <w:abstractNum w:abstractNumId="4" w15:restartNumberingAfterBreak="0">
    <w:nsid w:val="098A18B3"/>
    <w:multiLevelType w:val="multilevel"/>
    <w:tmpl w:val="F998EDE8"/>
    <w:lvl w:ilvl="0">
      <w:start w:val="6"/>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851"/>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DC0300"/>
    <w:multiLevelType w:val="hybridMultilevel"/>
    <w:tmpl w:val="4732CA9A"/>
    <w:lvl w:ilvl="0" w:tplc="FEBAC5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448DD"/>
    <w:multiLevelType w:val="hybridMultilevel"/>
    <w:tmpl w:val="01C2D6C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15:restartNumberingAfterBreak="0">
    <w:nsid w:val="159B133F"/>
    <w:multiLevelType w:val="hybridMultilevel"/>
    <w:tmpl w:val="7770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11D52"/>
    <w:multiLevelType w:val="hybridMultilevel"/>
    <w:tmpl w:val="E654CB74"/>
    <w:lvl w:ilvl="0" w:tplc="DE482E6C">
      <w:start w:val="1"/>
      <w:numFmt w:val="decimal"/>
      <w:lvlText w:val="%1)"/>
      <w:lvlJc w:val="left"/>
      <w:pPr>
        <w:ind w:left="928" w:hanging="360"/>
      </w:pPr>
      <w:rPr>
        <w:rFonts w:hint="default"/>
        <w:b/>
        <w:bCs/>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1C2744FD"/>
    <w:multiLevelType w:val="multilevel"/>
    <w:tmpl w:val="A3D0DB98"/>
    <w:lvl w:ilvl="0">
      <w:start w:val="3"/>
      <w:numFmt w:val="decimal"/>
      <w:lvlText w:val="%1"/>
      <w:lvlJc w:val="left"/>
      <w:pPr>
        <w:ind w:left="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71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C25D37"/>
    <w:multiLevelType w:val="multilevel"/>
    <w:tmpl w:val="C412908E"/>
    <w:lvl w:ilvl="0">
      <w:start w:val="5"/>
      <w:numFmt w:val="decimal"/>
      <w:lvlText w:val="%1"/>
      <w:lvlJc w:val="left"/>
      <w:pPr>
        <w:ind w:left="36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383835"/>
        <w:sz w:val="22"/>
        <w:szCs w:val="22"/>
        <w:u w:val="none" w:color="000000"/>
        <w:bdr w:val="none" w:sz="0" w:space="0" w:color="auto"/>
        <w:shd w:val="clear" w:color="auto" w:fill="auto"/>
        <w:vertAlign w:val="baseline"/>
      </w:rPr>
    </w:lvl>
  </w:abstractNum>
  <w:abstractNum w:abstractNumId="11" w15:restartNumberingAfterBreak="0">
    <w:nsid w:val="27657781"/>
    <w:multiLevelType w:val="hybridMultilevel"/>
    <w:tmpl w:val="D110D5A8"/>
    <w:lvl w:ilvl="0" w:tplc="FFFFFFFF">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1">
      <w:start w:val="1"/>
      <w:numFmt w:val="bullet"/>
      <w:lvlText w:val=""/>
      <w:lvlJc w:val="left"/>
      <w:pPr>
        <w:ind w:left="427" w:hanging="360"/>
      </w:pPr>
      <w:rPr>
        <w:rFonts w:ascii="Symbol" w:hAnsi="Symbol" w:hint="default"/>
      </w:rPr>
    </w:lvl>
    <w:lvl w:ilvl="2" w:tplc="FFFFFFFF">
      <w:start w:val="1"/>
      <w:numFmt w:val="bullet"/>
      <w:lvlText w:val="▪"/>
      <w:lvlJc w:val="left"/>
      <w:pPr>
        <w:ind w:left="2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711E3C"/>
    <w:multiLevelType w:val="multilevel"/>
    <w:tmpl w:val="2E48E20A"/>
    <w:lvl w:ilvl="0">
      <w:start w:val="1"/>
      <w:numFmt w:val="decimal"/>
      <w:lvlText w:val="%1"/>
      <w:lvlJc w:val="left"/>
      <w:pPr>
        <w:ind w:left="370" w:hanging="370"/>
      </w:pPr>
      <w:rPr>
        <w:rFonts w:hint="default"/>
        <w:b w:val="0"/>
      </w:rPr>
    </w:lvl>
    <w:lvl w:ilvl="1">
      <w:start w:val="1"/>
      <w:numFmt w:val="decimal"/>
      <w:lvlText w:val="%1.%2"/>
      <w:lvlJc w:val="left"/>
      <w:pPr>
        <w:ind w:left="370" w:hanging="370"/>
      </w:pPr>
      <w:rPr>
        <w:rFonts w:hint="default"/>
        <w:b w:val="0"/>
      </w:rPr>
    </w:lvl>
    <w:lvl w:ilvl="2">
      <w:start w:val="1"/>
      <w:numFmt w:val="decimalZero"/>
      <w:lvlText w:val="%1.%2.%3"/>
      <w:lvlJc w:val="left"/>
      <w:pPr>
        <w:ind w:left="690" w:hanging="720"/>
      </w:pPr>
      <w:rPr>
        <w:rFonts w:hint="default"/>
        <w:b w:val="0"/>
      </w:rPr>
    </w:lvl>
    <w:lvl w:ilvl="3">
      <w:start w:val="1"/>
      <w:numFmt w:val="decimal"/>
      <w:lvlText w:val="%1.%2.%3.%4"/>
      <w:lvlJc w:val="left"/>
      <w:pPr>
        <w:ind w:left="675" w:hanging="720"/>
      </w:pPr>
      <w:rPr>
        <w:rFonts w:hint="default"/>
        <w:b w:val="0"/>
      </w:rPr>
    </w:lvl>
    <w:lvl w:ilvl="4">
      <w:start w:val="1"/>
      <w:numFmt w:val="decimal"/>
      <w:lvlText w:val="%1.%2.%3.%4.%5"/>
      <w:lvlJc w:val="left"/>
      <w:pPr>
        <w:ind w:left="1020" w:hanging="1080"/>
      </w:pPr>
      <w:rPr>
        <w:rFonts w:hint="default"/>
        <w:b w:val="0"/>
      </w:rPr>
    </w:lvl>
    <w:lvl w:ilvl="5">
      <w:start w:val="1"/>
      <w:numFmt w:val="decimal"/>
      <w:lvlText w:val="%1.%2.%3.%4.%5.%6"/>
      <w:lvlJc w:val="left"/>
      <w:pPr>
        <w:ind w:left="1005" w:hanging="1080"/>
      </w:pPr>
      <w:rPr>
        <w:rFonts w:hint="default"/>
        <w:b w:val="0"/>
      </w:rPr>
    </w:lvl>
    <w:lvl w:ilvl="6">
      <w:start w:val="1"/>
      <w:numFmt w:val="decimal"/>
      <w:lvlText w:val="%1.%2.%3.%4.%5.%6.%7"/>
      <w:lvlJc w:val="left"/>
      <w:pPr>
        <w:ind w:left="1350" w:hanging="1440"/>
      </w:pPr>
      <w:rPr>
        <w:rFonts w:hint="default"/>
        <w:b w:val="0"/>
      </w:rPr>
    </w:lvl>
    <w:lvl w:ilvl="7">
      <w:start w:val="1"/>
      <w:numFmt w:val="decimal"/>
      <w:lvlText w:val="%1.%2.%3.%4.%5.%6.%7.%8"/>
      <w:lvlJc w:val="left"/>
      <w:pPr>
        <w:ind w:left="1335" w:hanging="1440"/>
      </w:pPr>
      <w:rPr>
        <w:rFonts w:hint="default"/>
        <w:b w:val="0"/>
      </w:rPr>
    </w:lvl>
    <w:lvl w:ilvl="8">
      <w:start w:val="1"/>
      <w:numFmt w:val="decimal"/>
      <w:lvlText w:val="%1.%2.%3.%4.%5.%6.%7.%8.%9"/>
      <w:lvlJc w:val="left"/>
      <w:pPr>
        <w:ind w:left="1680" w:hanging="1800"/>
      </w:pPr>
      <w:rPr>
        <w:rFonts w:hint="default"/>
        <w:b w:val="0"/>
      </w:rPr>
    </w:lvl>
  </w:abstractNum>
  <w:abstractNum w:abstractNumId="13" w15:restartNumberingAfterBreak="0">
    <w:nsid w:val="30EA2DB4"/>
    <w:multiLevelType w:val="multilevel"/>
    <w:tmpl w:val="BADADAE0"/>
    <w:lvl w:ilvl="0">
      <w:start w:val="8"/>
      <w:numFmt w:val="decimal"/>
      <w:lvlText w:val="%1.0"/>
      <w:lvlJc w:val="left"/>
      <w:pPr>
        <w:ind w:left="1353" w:hanging="360"/>
      </w:pPr>
      <w:rPr>
        <w:rFonts w:hint="default"/>
        <w:b/>
        <w:bCs w:val="0"/>
        <w:u w:val="none"/>
      </w:rPr>
    </w:lvl>
    <w:lvl w:ilvl="1">
      <w:start w:val="1"/>
      <w:numFmt w:val="decimal"/>
      <w:lvlText w:val="%1.%2"/>
      <w:lvlJc w:val="left"/>
      <w:pPr>
        <w:ind w:left="2062" w:hanging="360"/>
      </w:pPr>
      <w:rPr>
        <w:rFonts w:hint="default"/>
        <w:b w:val="0"/>
        <w:bCs/>
        <w:u w:val="none"/>
      </w:rPr>
    </w:lvl>
    <w:lvl w:ilvl="2">
      <w:start w:val="1"/>
      <w:numFmt w:val="decimalZero"/>
      <w:lvlText w:val="%1.%2.%3"/>
      <w:lvlJc w:val="left"/>
      <w:pPr>
        <w:ind w:left="3153" w:hanging="720"/>
      </w:pPr>
      <w:rPr>
        <w:rFonts w:hint="default"/>
        <w:b/>
        <w:u w:val="single"/>
      </w:rPr>
    </w:lvl>
    <w:lvl w:ilvl="3">
      <w:start w:val="1"/>
      <w:numFmt w:val="decimal"/>
      <w:lvlText w:val="%1.%2.%3.%4"/>
      <w:lvlJc w:val="left"/>
      <w:pPr>
        <w:ind w:left="3873" w:hanging="720"/>
      </w:pPr>
      <w:rPr>
        <w:rFonts w:hint="default"/>
        <w:b/>
        <w:u w:val="single"/>
      </w:rPr>
    </w:lvl>
    <w:lvl w:ilvl="4">
      <w:start w:val="1"/>
      <w:numFmt w:val="decimal"/>
      <w:lvlText w:val="%1.%2.%3.%4.%5"/>
      <w:lvlJc w:val="left"/>
      <w:pPr>
        <w:ind w:left="4953" w:hanging="1080"/>
      </w:pPr>
      <w:rPr>
        <w:rFonts w:hint="default"/>
        <w:b/>
        <w:u w:val="single"/>
      </w:rPr>
    </w:lvl>
    <w:lvl w:ilvl="5">
      <w:start w:val="1"/>
      <w:numFmt w:val="decimal"/>
      <w:lvlText w:val="%1.%2.%3.%4.%5.%6"/>
      <w:lvlJc w:val="left"/>
      <w:pPr>
        <w:ind w:left="5673" w:hanging="1080"/>
      </w:pPr>
      <w:rPr>
        <w:rFonts w:hint="default"/>
        <w:b/>
        <w:u w:val="single"/>
      </w:rPr>
    </w:lvl>
    <w:lvl w:ilvl="6">
      <w:start w:val="1"/>
      <w:numFmt w:val="decimal"/>
      <w:lvlText w:val="%1.%2.%3.%4.%5.%6.%7"/>
      <w:lvlJc w:val="left"/>
      <w:pPr>
        <w:ind w:left="6753" w:hanging="1440"/>
      </w:pPr>
      <w:rPr>
        <w:rFonts w:hint="default"/>
        <w:b/>
        <w:u w:val="single"/>
      </w:rPr>
    </w:lvl>
    <w:lvl w:ilvl="7">
      <w:start w:val="1"/>
      <w:numFmt w:val="decimal"/>
      <w:lvlText w:val="%1.%2.%3.%4.%5.%6.%7.%8"/>
      <w:lvlJc w:val="left"/>
      <w:pPr>
        <w:ind w:left="7473" w:hanging="1440"/>
      </w:pPr>
      <w:rPr>
        <w:rFonts w:hint="default"/>
        <w:b/>
        <w:u w:val="single"/>
      </w:rPr>
    </w:lvl>
    <w:lvl w:ilvl="8">
      <w:start w:val="1"/>
      <w:numFmt w:val="decimal"/>
      <w:lvlText w:val="%1.%2.%3.%4.%5.%6.%7.%8.%9"/>
      <w:lvlJc w:val="left"/>
      <w:pPr>
        <w:ind w:left="8553" w:hanging="1800"/>
      </w:pPr>
      <w:rPr>
        <w:rFonts w:hint="default"/>
        <w:b/>
        <w:u w:val="single"/>
      </w:rPr>
    </w:lvl>
  </w:abstractNum>
  <w:abstractNum w:abstractNumId="14" w15:restartNumberingAfterBreak="0">
    <w:nsid w:val="3CBF3760"/>
    <w:multiLevelType w:val="hybridMultilevel"/>
    <w:tmpl w:val="206AC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345EA2"/>
    <w:multiLevelType w:val="hybridMultilevel"/>
    <w:tmpl w:val="7FCAE2E2"/>
    <w:lvl w:ilvl="0" w:tplc="32D464AE">
      <w:start w:val="1"/>
      <w:numFmt w:val="bullet"/>
      <w:lvlText w:val="•"/>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16" w15:restartNumberingAfterBreak="0">
    <w:nsid w:val="403D206F"/>
    <w:multiLevelType w:val="multilevel"/>
    <w:tmpl w:val="64B87EC6"/>
    <w:lvl w:ilvl="0">
      <w:start w:val="7"/>
      <w:numFmt w:val="decimal"/>
      <w:lvlText w:val="%1.0"/>
      <w:lvlJc w:val="left"/>
      <w:pPr>
        <w:ind w:left="644" w:hanging="360"/>
      </w:pPr>
      <w:rPr>
        <w:rFonts w:hint="default"/>
        <w:b/>
        <w:bCs w:val="0"/>
        <w:u w:val="none"/>
      </w:rPr>
    </w:lvl>
    <w:lvl w:ilvl="1">
      <w:start w:val="1"/>
      <w:numFmt w:val="decimal"/>
      <w:lvlText w:val="%1.%2"/>
      <w:lvlJc w:val="left"/>
      <w:pPr>
        <w:ind w:left="3905" w:hanging="360"/>
      </w:pPr>
      <w:rPr>
        <w:rFonts w:hint="default"/>
        <w:b w:val="0"/>
        <w:bCs/>
        <w:u w:val="none"/>
      </w:rPr>
    </w:lvl>
    <w:lvl w:ilvl="2">
      <w:start w:val="1"/>
      <w:numFmt w:val="decimalZero"/>
      <w:lvlText w:val="%1.%2.%3"/>
      <w:lvlJc w:val="left"/>
      <w:pPr>
        <w:ind w:left="2444" w:hanging="720"/>
      </w:pPr>
      <w:rPr>
        <w:rFonts w:hint="default"/>
        <w:b/>
        <w:u w:val="single"/>
      </w:rPr>
    </w:lvl>
    <w:lvl w:ilvl="3">
      <w:start w:val="1"/>
      <w:numFmt w:val="decimal"/>
      <w:lvlText w:val="%1.%2.%3.%4"/>
      <w:lvlJc w:val="left"/>
      <w:pPr>
        <w:ind w:left="3164" w:hanging="720"/>
      </w:pPr>
      <w:rPr>
        <w:rFonts w:hint="default"/>
        <w:b/>
        <w:u w:val="single"/>
      </w:rPr>
    </w:lvl>
    <w:lvl w:ilvl="4">
      <w:start w:val="1"/>
      <w:numFmt w:val="decimal"/>
      <w:lvlText w:val="%1.%2.%3.%4.%5"/>
      <w:lvlJc w:val="left"/>
      <w:pPr>
        <w:ind w:left="4244" w:hanging="1080"/>
      </w:pPr>
      <w:rPr>
        <w:rFonts w:hint="default"/>
        <w:b/>
        <w:u w:val="single"/>
      </w:rPr>
    </w:lvl>
    <w:lvl w:ilvl="5">
      <w:start w:val="1"/>
      <w:numFmt w:val="decimal"/>
      <w:lvlText w:val="%1.%2.%3.%4.%5.%6"/>
      <w:lvlJc w:val="left"/>
      <w:pPr>
        <w:ind w:left="4964" w:hanging="1080"/>
      </w:pPr>
      <w:rPr>
        <w:rFonts w:hint="default"/>
        <w:b/>
        <w:u w:val="single"/>
      </w:rPr>
    </w:lvl>
    <w:lvl w:ilvl="6">
      <w:start w:val="1"/>
      <w:numFmt w:val="decimal"/>
      <w:lvlText w:val="%1.%2.%3.%4.%5.%6.%7"/>
      <w:lvlJc w:val="left"/>
      <w:pPr>
        <w:ind w:left="6044" w:hanging="1440"/>
      </w:pPr>
      <w:rPr>
        <w:rFonts w:hint="default"/>
        <w:b/>
        <w:u w:val="single"/>
      </w:rPr>
    </w:lvl>
    <w:lvl w:ilvl="7">
      <w:start w:val="1"/>
      <w:numFmt w:val="decimal"/>
      <w:lvlText w:val="%1.%2.%3.%4.%5.%6.%7.%8"/>
      <w:lvlJc w:val="left"/>
      <w:pPr>
        <w:ind w:left="6764" w:hanging="1440"/>
      </w:pPr>
      <w:rPr>
        <w:rFonts w:hint="default"/>
        <w:b/>
        <w:u w:val="single"/>
      </w:rPr>
    </w:lvl>
    <w:lvl w:ilvl="8">
      <w:start w:val="1"/>
      <w:numFmt w:val="decimal"/>
      <w:lvlText w:val="%1.%2.%3.%4.%5.%6.%7.%8.%9"/>
      <w:lvlJc w:val="left"/>
      <w:pPr>
        <w:ind w:left="7844" w:hanging="1800"/>
      </w:pPr>
      <w:rPr>
        <w:rFonts w:hint="default"/>
        <w:b/>
        <w:u w:val="single"/>
      </w:rPr>
    </w:lvl>
  </w:abstractNum>
  <w:abstractNum w:abstractNumId="17" w15:restartNumberingAfterBreak="0">
    <w:nsid w:val="49F15AF6"/>
    <w:multiLevelType w:val="hybridMultilevel"/>
    <w:tmpl w:val="98129536"/>
    <w:lvl w:ilvl="0" w:tplc="32D464AE">
      <w:start w:val="1"/>
      <w:numFmt w:val="bullet"/>
      <w:lvlText w:val="•"/>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8" w15:restartNumberingAfterBreak="0">
    <w:nsid w:val="4A014345"/>
    <w:multiLevelType w:val="multilevel"/>
    <w:tmpl w:val="1A301B60"/>
    <w:lvl w:ilvl="0">
      <w:start w:val="4"/>
      <w:numFmt w:val="decimal"/>
      <w:lvlText w:val="%1.0"/>
      <w:lvlJc w:val="left"/>
      <w:pPr>
        <w:ind w:left="502" w:hanging="360"/>
      </w:pPr>
      <w:rPr>
        <w:rFonts w:hint="default"/>
        <w:b/>
        <w:u w:val="none"/>
      </w:rPr>
    </w:lvl>
    <w:lvl w:ilvl="1">
      <w:start w:val="1"/>
      <w:numFmt w:val="decimal"/>
      <w:lvlText w:val="%1.%2"/>
      <w:lvlJc w:val="left"/>
      <w:pPr>
        <w:ind w:left="1222" w:hanging="360"/>
      </w:pPr>
      <w:rPr>
        <w:rFonts w:hint="default"/>
        <w:b/>
        <w:u w:val="single"/>
      </w:rPr>
    </w:lvl>
    <w:lvl w:ilvl="2">
      <w:start w:val="1"/>
      <w:numFmt w:val="decimalZero"/>
      <w:lvlText w:val="%1.%2.%3"/>
      <w:lvlJc w:val="left"/>
      <w:pPr>
        <w:ind w:left="2302" w:hanging="720"/>
      </w:pPr>
      <w:rPr>
        <w:rFonts w:hint="default"/>
        <w:b/>
        <w:u w:val="single"/>
      </w:rPr>
    </w:lvl>
    <w:lvl w:ilvl="3">
      <w:start w:val="1"/>
      <w:numFmt w:val="decimal"/>
      <w:lvlText w:val="%1.%2.%3.%4"/>
      <w:lvlJc w:val="left"/>
      <w:pPr>
        <w:ind w:left="3022" w:hanging="720"/>
      </w:pPr>
      <w:rPr>
        <w:rFonts w:hint="default"/>
        <w:b/>
        <w:u w:val="single"/>
      </w:rPr>
    </w:lvl>
    <w:lvl w:ilvl="4">
      <w:start w:val="1"/>
      <w:numFmt w:val="decimal"/>
      <w:lvlText w:val="%1.%2.%3.%4.%5"/>
      <w:lvlJc w:val="left"/>
      <w:pPr>
        <w:ind w:left="4102" w:hanging="1080"/>
      </w:pPr>
      <w:rPr>
        <w:rFonts w:hint="default"/>
        <w:b/>
        <w:u w:val="single"/>
      </w:rPr>
    </w:lvl>
    <w:lvl w:ilvl="5">
      <w:start w:val="1"/>
      <w:numFmt w:val="decimal"/>
      <w:lvlText w:val="%1.%2.%3.%4.%5.%6"/>
      <w:lvlJc w:val="left"/>
      <w:pPr>
        <w:ind w:left="4822" w:hanging="1080"/>
      </w:pPr>
      <w:rPr>
        <w:rFonts w:hint="default"/>
        <w:b/>
        <w:u w:val="single"/>
      </w:rPr>
    </w:lvl>
    <w:lvl w:ilvl="6">
      <w:start w:val="1"/>
      <w:numFmt w:val="decimal"/>
      <w:lvlText w:val="%1.%2.%3.%4.%5.%6.%7"/>
      <w:lvlJc w:val="left"/>
      <w:pPr>
        <w:ind w:left="5902" w:hanging="1440"/>
      </w:pPr>
      <w:rPr>
        <w:rFonts w:hint="default"/>
        <w:b/>
        <w:u w:val="single"/>
      </w:rPr>
    </w:lvl>
    <w:lvl w:ilvl="7">
      <w:start w:val="1"/>
      <w:numFmt w:val="decimal"/>
      <w:lvlText w:val="%1.%2.%3.%4.%5.%6.%7.%8"/>
      <w:lvlJc w:val="left"/>
      <w:pPr>
        <w:ind w:left="6622" w:hanging="1440"/>
      </w:pPr>
      <w:rPr>
        <w:rFonts w:hint="default"/>
        <w:b/>
        <w:u w:val="single"/>
      </w:rPr>
    </w:lvl>
    <w:lvl w:ilvl="8">
      <w:start w:val="1"/>
      <w:numFmt w:val="decimal"/>
      <w:lvlText w:val="%1.%2.%3.%4.%5.%6.%7.%8.%9"/>
      <w:lvlJc w:val="left"/>
      <w:pPr>
        <w:ind w:left="7702" w:hanging="1800"/>
      </w:pPr>
      <w:rPr>
        <w:rFonts w:hint="default"/>
        <w:b/>
        <w:u w:val="single"/>
      </w:rPr>
    </w:lvl>
  </w:abstractNum>
  <w:abstractNum w:abstractNumId="19" w15:restartNumberingAfterBreak="0">
    <w:nsid w:val="4C81340E"/>
    <w:multiLevelType w:val="hybridMultilevel"/>
    <w:tmpl w:val="7F428A6A"/>
    <w:lvl w:ilvl="0" w:tplc="08090001">
      <w:start w:val="1"/>
      <w:numFmt w:val="bullet"/>
      <w:lvlText w:val=""/>
      <w:lvlJc w:val="left"/>
      <w:pPr>
        <w:ind w:left="1075" w:hanging="360"/>
      </w:pPr>
      <w:rPr>
        <w:rFonts w:ascii="Symbol" w:hAnsi="Symbol"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20" w15:restartNumberingAfterBreak="0">
    <w:nsid w:val="4CC2734A"/>
    <w:multiLevelType w:val="multilevel"/>
    <w:tmpl w:val="7FA43F9C"/>
    <w:lvl w:ilvl="0">
      <w:start w:val="4"/>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E91632F"/>
    <w:multiLevelType w:val="multilevel"/>
    <w:tmpl w:val="684A5186"/>
    <w:lvl w:ilvl="0">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0064AC"/>
    <w:multiLevelType w:val="hybridMultilevel"/>
    <w:tmpl w:val="19A087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01D2D46"/>
    <w:multiLevelType w:val="hybridMultilevel"/>
    <w:tmpl w:val="988CAC8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4" w15:restartNumberingAfterBreak="0">
    <w:nsid w:val="541C00B6"/>
    <w:multiLevelType w:val="hybridMultilevel"/>
    <w:tmpl w:val="F3BC25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859FB"/>
    <w:multiLevelType w:val="hybridMultilevel"/>
    <w:tmpl w:val="8AE28AE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6" w15:restartNumberingAfterBreak="0">
    <w:nsid w:val="58255146"/>
    <w:multiLevelType w:val="multilevel"/>
    <w:tmpl w:val="1232788C"/>
    <w:lvl w:ilvl="0">
      <w:start w:val="4"/>
      <w:numFmt w:val="decimal"/>
      <w:lvlText w:val="%1.0"/>
      <w:lvlJc w:val="left"/>
      <w:pPr>
        <w:ind w:left="360" w:hanging="360"/>
      </w:pPr>
      <w:rPr>
        <w:rFonts w:hint="default"/>
        <w:b/>
        <w:bCs w:val="0"/>
        <w:u w:val="none"/>
      </w:rPr>
    </w:lvl>
    <w:lvl w:ilvl="1">
      <w:start w:val="1"/>
      <w:numFmt w:val="decimal"/>
      <w:lvlText w:val="%1.%2"/>
      <w:lvlJc w:val="left"/>
      <w:pPr>
        <w:ind w:left="1080" w:hanging="360"/>
      </w:pPr>
      <w:rPr>
        <w:rFonts w:hint="default"/>
        <w:b w:val="0"/>
        <w:bCs/>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27" w15:restartNumberingAfterBreak="0">
    <w:nsid w:val="6D08181B"/>
    <w:multiLevelType w:val="hybridMultilevel"/>
    <w:tmpl w:val="1006026C"/>
    <w:lvl w:ilvl="0" w:tplc="32D464AE">
      <w:start w:val="1"/>
      <w:numFmt w:val="bullet"/>
      <w:lvlText w:val="•"/>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01A10">
      <w:start w:val="1"/>
      <w:numFmt w:val="bullet"/>
      <w:lvlText w:val="o"/>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A47920">
      <w:start w:val="1"/>
      <w:numFmt w:val="bullet"/>
      <w:lvlText w:val="▪"/>
      <w:lvlJc w:val="left"/>
      <w:pPr>
        <w:ind w:left="2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46748E">
      <w:start w:val="1"/>
      <w:numFmt w:val="bullet"/>
      <w:lvlText w:val="•"/>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BA3FE8">
      <w:start w:val="1"/>
      <w:numFmt w:val="bullet"/>
      <w:lvlText w:val="o"/>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E45B9C">
      <w:start w:val="1"/>
      <w:numFmt w:val="bullet"/>
      <w:lvlText w:val="▪"/>
      <w:lvlJc w:val="left"/>
      <w:pPr>
        <w:ind w:left="4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F6A8B8">
      <w:start w:val="1"/>
      <w:numFmt w:val="bullet"/>
      <w:lvlText w:val="•"/>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365618">
      <w:start w:val="1"/>
      <w:numFmt w:val="bullet"/>
      <w:lvlText w:val="o"/>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363E0E">
      <w:start w:val="1"/>
      <w:numFmt w:val="bullet"/>
      <w:lvlText w:val="▪"/>
      <w:lvlJc w:val="left"/>
      <w:pPr>
        <w:ind w:left="6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570FE7"/>
    <w:multiLevelType w:val="multilevel"/>
    <w:tmpl w:val="A5729102"/>
    <w:lvl w:ilvl="0">
      <w:start w:val="1"/>
      <w:numFmt w:val="decimal"/>
      <w:lvlText w:val="%1"/>
      <w:lvlJc w:val="left"/>
      <w:pPr>
        <w:ind w:left="370" w:hanging="370"/>
      </w:pPr>
      <w:rPr>
        <w:rFonts w:hint="default"/>
      </w:rPr>
    </w:lvl>
    <w:lvl w:ilvl="1">
      <w:start w:val="1"/>
      <w:numFmt w:val="decimal"/>
      <w:lvlText w:val="%1.%2"/>
      <w:lvlJc w:val="left"/>
      <w:pPr>
        <w:ind w:left="355" w:hanging="370"/>
      </w:pPr>
      <w:rPr>
        <w:rFonts w:hint="default"/>
      </w:rPr>
    </w:lvl>
    <w:lvl w:ilvl="2">
      <w:start w:val="1"/>
      <w:numFmt w:val="decimalZero"/>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9" w15:restartNumberingAfterBreak="0">
    <w:nsid w:val="7C495C2D"/>
    <w:multiLevelType w:val="multilevel"/>
    <w:tmpl w:val="628E5088"/>
    <w:lvl w:ilvl="0">
      <w:start w:val="9"/>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090"/>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BC586D"/>
    <w:multiLevelType w:val="hybridMultilevel"/>
    <w:tmpl w:val="0478DEB2"/>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start w:val="1"/>
      <w:numFmt w:val="bullet"/>
      <w:lvlText w:val=""/>
      <w:lvlJc w:val="left"/>
      <w:pPr>
        <w:ind w:left="1810" w:hanging="360"/>
      </w:pPr>
      <w:rPr>
        <w:rFonts w:ascii="Wingdings" w:hAnsi="Wingdings" w:hint="default"/>
      </w:rPr>
    </w:lvl>
    <w:lvl w:ilvl="3" w:tplc="08090001">
      <w:start w:val="1"/>
      <w:numFmt w:val="bullet"/>
      <w:lvlText w:val=""/>
      <w:lvlJc w:val="left"/>
      <w:pPr>
        <w:ind w:left="2530" w:hanging="360"/>
      </w:pPr>
      <w:rPr>
        <w:rFonts w:ascii="Symbol" w:hAnsi="Symbol" w:hint="default"/>
      </w:rPr>
    </w:lvl>
    <w:lvl w:ilvl="4" w:tplc="08090003">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1" w15:restartNumberingAfterBreak="0">
    <w:nsid w:val="7F262464"/>
    <w:multiLevelType w:val="multilevel"/>
    <w:tmpl w:val="B26EC6AE"/>
    <w:lvl w:ilvl="0">
      <w:start w:val="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11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924D1C"/>
    <w:multiLevelType w:val="multilevel"/>
    <w:tmpl w:val="04C0A526"/>
    <w:lvl w:ilvl="0">
      <w:start w:val="8"/>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numFmt w:val="decimal"/>
      <w:lvlRestart w:val="0"/>
      <w:lvlText w:val="%1.%2"/>
      <w:lvlJc w:val="left"/>
      <w:pPr>
        <w:ind w:left="284"/>
      </w:pPr>
      <w:rPr>
        <w:rFonts w:ascii="Arial" w:eastAsia="Arial" w:hAnsi="Arial" w:cs="Arial"/>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392728946">
    <w:abstractNumId w:val="27"/>
  </w:num>
  <w:num w:numId="2" w16cid:durableId="1734617892">
    <w:abstractNumId w:val="9"/>
  </w:num>
  <w:num w:numId="3" w16cid:durableId="708191986">
    <w:abstractNumId w:val="31"/>
  </w:num>
  <w:num w:numId="4" w16cid:durableId="2081899601">
    <w:abstractNumId w:val="29"/>
  </w:num>
  <w:num w:numId="5" w16cid:durableId="168643218">
    <w:abstractNumId w:val="10"/>
  </w:num>
  <w:num w:numId="6" w16cid:durableId="869807453">
    <w:abstractNumId w:val="21"/>
  </w:num>
  <w:num w:numId="7" w16cid:durableId="1460756084">
    <w:abstractNumId w:val="1"/>
  </w:num>
  <w:num w:numId="8" w16cid:durableId="1070889735">
    <w:abstractNumId w:val="32"/>
  </w:num>
  <w:num w:numId="9" w16cid:durableId="1399091401">
    <w:abstractNumId w:val="4"/>
  </w:num>
  <w:num w:numId="10" w16cid:durableId="704326335">
    <w:abstractNumId w:val="6"/>
  </w:num>
  <w:num w:numId="11" w16cid:durableId="86585888">
    <w:abstractNumId w:val="14"/>
  </w:num>
  <w:num w:numId="12" w16cid:durableId="1015110563">
    <w:abstractNumId w:val="22"/>
  </w:num>
  <w:num w:numId="13" w16cid:durableId="1852525709">
    <w:abstractNumId w:val="8"/>
  </w:num>
  <w:num w:numId="14" w16cid:durableId="1470707321">
    <w:abstractNumId w:val="30"/>
  </w:num>
  <w:num w:numId="15" w16cid:durableId="2018532634">
    <w:abstractNumId w:val="26"/>
  </w:num>
  <w:num w:numId="16" w16cid:durableId="1718896298">
    <w:abstractNumId w:val="3"/>
  </w:num>
  <w:num w:numId="17" w16cid:durableId="1151677489">
    <w:abstractNumId w:val="5"/>
  </w:num>
  <w:num w:numId="18" w16cid:durableId="326713462">
    <w:abstractNumId w:val="15"/>
  </w:num>
  <w:num w:numId="19" w16cid:durableId="1088888371">
    <w:abstractNumId w:val="17"/>
  </w:num>
  <w:num w:numId="20" w16cid:durableId="239605351">
    <w:abstractNumId w:val="0"/>
  </w:num>
  <w:num w:numId="21" w16cid:durableId="1644851690">
    <w:abstractNumId w:val="11"/>
  </w:num>
  <w:num w:numId="22" w16cid:durableId="1320619764">
    <w:abstractNumId w:val="25"/>
  </w:num>
  <w:num w:numId="23" w16cid:durableId="2076124392">
    <w:abstractNumId w:val="12"/>
  </w:num>
  <w:num w:numId="24" w16cid:durableId="795415076">
    <w:abstractNumId w:val="28"/>
  </w:num>
  <w:num w:numId="25" w16cid:durableId="1140806442">
    <w:abstractNumId w:val="19"/>
  </w:num>
  <w:num w:numId="26" w16cid:durableId="1684555549">
    <w:abstractNumId w:val="2"/>
  </w:num>
  <w:num w:numId="27" w16cid:durableId="1911576233">
    <w:abstractNumId w:val="23"/>
  </w:num>
  <w:num w:numId="28" w16cid:durableId="1234389235">
    <w:abstractNumId w:val="18"/>
  </w:num>
  <w:num w:numId="29" w16cid:durableId="1112359941">
    <w:abstractNumId w:val="20"/>
  </w:num>
  <w:num w:numId="30" w16cid:durableId="1504735000">
    <w:abstractNumId w:val="16"/>
  </w:num>
  <w:num w:numId="31" w16cid:durableId="12155536">
    <w:abstractNumId w:val="13"/>
  </w:num>
  <w:num w:numId="32" w16cid:durableId="21785776">
    <w:abstractNumId w:val="24"/>
  </w:num>
  <w:num w:numId="33" w16cid:durableId="470906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AE"/>
    <w:rsid w:val="000D6F09"/>
    <w:rsid w:val="00137016"/>
    <w:rsid w:val="00177DBC"/>
    <w:rsid w:val="001F5072"/>
    <w:rsid w:val="00213726"/>
    <w:rsid w:val="00217A46"/>
    <w:rsid w:val="00286804"/>
    <w:rsid w:val="002C62FB"/>
    <w:rsid w:val="00383868"/>
    <w:rsid w:val="003C452C"/>
    <w:rsid w:val="00402899"/>
    <w:rsid w:val="00446DAC"/>
    <w:rsid w:val="00463867"/>
    <w:rsid w:val="004750EA"/>
    <w:rsid w:val="0048473A"/>
    <w:rsid w:val="004C52F3"/>
    <w:rsid w:val="00534BDE"/>
    <w:rsid w:val="005460DC"/>
    <w:rsid w:val="005C06E9"/>
    <w:rsid w:val="00611D10"/>
    <w:rsid w:val="00636ECB"/>
    <w:rsid w:val="00641EB0"/>
    <w:rsid w:val="00653E76"/>
    <w:rsid w:val="00657FB9"/>
    <w:rsid w:val="00675CB8"/>
    <w:rsid w:val="006D5EEA"/>
    <w:rsid w:val="006E6678"/>
    <w:rsid w:val="00702A74"/>
    <w:rsid w:val="00702CD0"/>
    <w:rsid w:val="007318AE"/>
    <w:rsid w:val="00733126"/>
    <w:rsid w:val="00795095"/>
    <w:rsid w:val="007A2FE1"/>
    <w:rsid w:val="008009E0"/>
    <w:rsid w:val="0082304A"/>
    <w:rsid w:val="00905DD0"/>
    <w:rsid w:val="00921FB9"/>
    <w:rsid w:val="00953E35"/>
    <w:rsid w:val="009E2AEB"/>
    <w:rsid w:val="009F1730"/>
    <w:rsid w:val="00A13911"/>
    <w:rsid w:val="00A23F1D"/>
    <w:rsid w:val="00A513D1"/>
    <w:rsid w:val="00AA6D2F"/>
    <w:rsid w:val="00AD7F49"/>
    <w:rsid w:val="00AF65DD"/>
    <w:rsid w:val="00B012D1"/>
    <w:rsid w:val="00BD45BA"/>
    <w:rsid w:val="00C12169"/>
    <w:rsid w:val="00C166F4"/>
    <w:rsid w:val="00C32F4B"/>
    <w:rsid w:val="00C62C0C"/>
    <w:rsid w:val="00C675A0"/>
    <w:rsid w:val="00C90443"/>
    <w:rsid w:val="00CC4153"/>
    <w:rsid w:val="00D12DBA"/>
    <w:rsid w:val="00D1608D"/>
    <w:rsid w:val="00D1744F"/>
    <w:rsid w:val="00D34377"/>
    <w:rsid w:val="00E54881"/>
    <w:rsid w:val="00E722B7"/>
    <w:rsid w:val="00E926E6"/>
    <w:rsid w:val="00EB3DDE"/>
    <w:rsid w:val="00EF5945"/>
    <w:rsid w:val="00F125F5"/>
    <w:rsid w:val="00F40AC0"/>
    <w:rsid w:val="00F9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51B4"/>
  <w15:docId w15:val="{A5DD1558-792E-4AA1-9DF4-98A5C48C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9547"/>
      <w:ind w:right="6725"/>
      <w:jc w:val="right"/>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F5945"/>
    <w:pPr>
      <w:ind w:left="720"/>
      <w:contextualSpacing/>
    </w:pPr>
  </w:style>
  <w:style w:type="character" w:styleId="Hyperlink">
    <w:name w:val="Hyperlink"/>
    <w:basedOn w:val="DefaultParagraphFont"/>
    <w:uiPriority w:val="99"/>
    <w:unhideWhenUsed/>
    <w:rsid w:val="00286804"/>
    <w:rPr>
      <w:color w:val="0563C1" w:themeColor="hyperlink"/>
      <w:u w:val="single"/>
    </w:rPr>
  </w:style>
  <w:style w:type="character" w:styleId="UnresolvedMention">
    <w:name w:val="Unresolved Mention"/>
    <w:basedOn w:val="DefaultParagraphFont"/>
    <w:uiPriority w:val="99"/>
    <w:semiHidden/>
    <w:unhideWhenUsed/>
    <w:rsid w:val="00286804"/>
    <w:rPr>
      <w:color w:val="605E5C"/>
      <w:shd w:val="clear" w:color="auto" w:fill="E1DFDD"/>
    </w:rPr>
  </w:style>
  <w:style w:type="table" w:styleId="TableGrid0">
    <w:name w:val="Table Grid"/>
    <w:basedOn w:val="TableNormal"/>
    <w:uiPriority w:val="39"/>
    <w:rsid w:val="0028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80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3824">
      <w:bodyDiv w:val="1"/>
      <w:marLeft w:val="0"/>
      <w:marRight w:val="0"/>
      <w:marTop w:val="0"/>
      <w:marBottom w:val="0"/>
      <w:divBdr>
        <w:top w:val="none" w:sz="0" w:space="0" w:color="auto"/>
        <w:left w:val="none" w:sz="0" w:space="0" w:color="auto"/>
        <w:bottom w:val="none" w:sz="0" w:space="0" w:color="auto"/>
        <w:right w:val="none" w:sz="0" w:space="0" w:color="auto"/>
      </w:divBdr>
    </w:div>
    <w:div w:id="175204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ewark-sherwooddc.gov.uk/councilstrategies/" TargetMode="External"/><Relationship Id="rId18" Type="http://schemas.openxmlformats.org/officeDocument/2006/relationships/hyperlink" Target="https://www.newark-sherwooddc.gov.uk/councilstrategies/" TargetMode="External"/><Relationship Id="rId26" Type="http://schemas.openxmlformats.org/officeDocument/2006/relationships/hyperlink" Target="https://www.gov.uk/guidance/funding-for-farmers-in-protected-landscapes" TargetMode="External"/><Relationship Id="rId39" Type="http://schemas.openxmlformats.org/officeDocument/2006/relationships/hyperlink" Target="https://www.gov.uk/government/collections/subsidy-control-regime" TargetMode="External"/><Relationship Id="rId21" Type="http://schemas.openxmlformats.org/officeDocument/2006/relationships/hyperlink" Target="mailto:UKSPF@newark-sherwooddc.gov.uk" TargetMode="External"/><Relationship Id="rId34" Type="http://schemas.openxmlformats.org/officeDocument/2006/relationships/hyperlink" Target="https://www.gov.uk/government/collections/subsidy-control-regime" TargetMode="External"/><Relationship Id="rId42" Type="http://schemas.openxmlformats.org/officeDocument/2006/relationships/hyperlink" Target="mailto:UKSPF@newark-sherwooddc.gov.uk"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ewark-sherwooddc.gov.uk/councilstrategies/" TargetMode="External"/><Relationship Id="rId29" Type="http://schemas.openxmlformats.org/officeDocument/2006/relationships/hyperlink" Target="https://www.gov.uk/guidance/farming-investment-fund" TargetMode="External"/><Relationship Id="rId11" Type="http://schemas.openxmlformats.org/officeDocument/2006/relationships/hyperlink" Target="https://www.gov.uk/government/publications/uk-shared-prosperity-fund-prospectus/uk-shared-prosperity-fund-prospectus" TargetMode="External"/><Relationship Id="rId24" Type="http://schemas.openxmlformats.org/officeDocument/2006/relationships/hyperlink" Target="https://www.gov.uk/government/publications/25-year-environment-plan/25-year-environment-plan-our-targets-at-a-glance" TargetMode="External"/><Relationship Id="rId32" Type="http://schemas.openxmlformats.org/officeDocument/2006/relationships/hyperlink" Target="https://www.gov.uk/government/news/platinum-jubilee-fund-creates-boost-for-village-halls" TargetMode="External"/><Relationship Id="rId37" Type="http://schemas.openxmlformats.org/officeDocument/2006/relationships/hyperlink" Target="https://www.gov.uk/government/collections/subsidy-control-regime" TargetMode="External"/><Relationship Id="rId40" Type="http://schemas.openxmlformats.org/officeDocument/2006/relationships/hyperlink" Target="https://www.gov.uk/government/collections/subsidy-control-regim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ewark-sherwooddc.gov.uk/councilstrategies/" TargetMode="External"/><Relationship Id="rId23" Type="http://schemas.openxmlformats.org/officeDocument/2006/relationships/hyperlink" Target="https://www.gov.uk/government/publications/25-year-environment-plan/25-year-environment-plan-our-targets-at-a-glance" TargetMode="External"/><Relationship Id="rId28" Type="http://schemas.openxmlformats.org/officeDocument/2006/relationships/hyperlink" Target="https://www.gov.uk/guidance/farming-investment-fund" TargetMode="External"/><Relationship Id="rId36" Type="http://schemas.openxmlformats.org/officeDocument/2006/relationships/hyperlink" Target="https://www.gov.uk/government/collections/subsidy-control-regime" TargetMode="External"/><Relationship Id="rId49" Type="http://schemas.openxmlformats.org/officeDocument/2006/relationships/footer" Target="footer6.xml"/><Relationship Id="rId10" Type="http://schemas.openxmlformats.org/officeDocument/2006/relationships/hyperlink" Target="https://www.gov.uk/government/publications/uk-shared-prosperity-fund-prospectus/uk-shared-prosperity-fund-prospectus" TargetMode="External"/><Relationship Id="rId19" Type="http://schemas.openxmlformats.org/officeDocument/2006/relationships/hyperlink" Target="https://www.newark-sherwooddc.gov.uk/councilstrategies/" TargetMode="External"/><Relationship Id="rId31" Type="http://schemas.openxmlformats.org/officeDocument/2006/relationships/hyperlink" Target="https://www.gov.uk/government/news/platinum-jubilee-fund-creates-boost-for-village-hall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ewark-sherwooddc.gov.uk/councilstrategies/" TargetMode="External"/><Relationship Id="rId22" Type="http://schemas.openxmlformats.org/officeDocument/2006/relationships/hyperlink" Target="https://www.gov.uk/government/publications/25-year-environment-plan/25-year-environment-plan-our-targets-at-a-glance" TargetMode="External"/><Relationship Id="rId27" Type="http://schemas.openxmlformats.org/officeDocument/2006/relationships/hyperlink" Target="https://www.gov.uk/guidance/farming-investment-fund" TargetMode="External"/><Relationship Id="rId30" Type="http://schemas.openxmlformats.org/officeDocument/2006/relationships/hyperlink" Target="https://www.gov.uk/guidance/farming-investment-fund" TargetMode="External"/><Relationship Id="rId35" Type="http://schemas.openxmlformats.org/officeDocument/2006/relationships/hyperlink" Target="https://www.gov.uk/government/collections/subsidy-control-regime" TargetMode="External"/><Relationship Id="rId43" Type="http://schemas.openxmlformats.org/officeDocument/2006/relationships/hyperlink" Target="mailto:UKSPF@newark-sherwooddc.gov.uk" TargetMode="External"/><Relationship Id="rId48" Type="http://schemas.openxmlformats.org/officeDocument/2006/relationships/footer" Target="footer5.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publications/uk-shared-prosperity-fund-prospectus/uk-shared-prosperity-fund-prospectus" TargetMode="External"/><Relationship Id="rId17" Type="http://schemas.openxmlformats.org/officeDocument/2006/relationships/hyperlink" Target="https://www.newark-sherwooddc.gov.uk/councilstrategies/" TargetMode="External"/><Relationship Id="rId25" Type="http://schemas.openxmlformats.org/officeDocument/2006/relationships/hyperlink" Target="https://www.gov.uk/guidance/funding-for-farmers-in-protected-landscapes" TargetMode="External"/><Relationship Id="rId33" Type="http://schemas.openxmlformats.org/officeDocument/2006/relationships/hyperlink" Target="https://www.newark-sherwooddc.gov.uk/communityfunding/" TargetMode="External"/><Relationship Id="rId38" Type="http://schemas.openxmlformats.org/officeDocument/2006/relationships/hyperlink" Target="https://www.gov.uk/government/collections/subsidy-control-regime" TargetMode="External"/><Relationship Id="rId46" Type="http://schemas.openxmlformats.org/officeDocument/2006/relationships/footer" Target="footer3.xml"/><Relationship Id="rId20" Type="http://schemas.openxmlformats.org/officeDocument/2006/relationships/hyperlink" Target="https://www.newark-sherwooddc.gov.uk/councilstrategies/" TargetMode="External"/><Relationship Id="rId41" Type="http://schemas.openxmlformats.org/officeDocument/2006/relationships/hyperlink" Target="https://www.gov.uk/government/collections/subsidy-control-regim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E8B1-B567-4DC1-A4A2-7851D77D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Invitation to bid for Community Learning Grant</vt:lpstr>
    </vt:vector>
  </TitlesOfParts>
  <Company>Newark &amp; Sherwood District Council</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for Community Learning Grant</dc:title>
  <dc:subject>Education and skills</dc:subject>
  <dc:creator>Nottinghamshire County Council</dc:creator>
  <cp:keywords/>
  <cp:lastModifiedBy>Sarah Husselbee</cp:lastModifiedBy>
  <cp:revision>3</cp:revision>
  <cp:lastPrinted>2023-12-07T16:22:00Z</cp:lastPrinted>
  <dcterms:created xsi:type="dcterms:W3CDTF">2023-12-07T18:01:00Z</dcterms:created>
  <dcterms:modified xsi:type="dcterms:W3CDTF">2023-12-18T08:55:00Z</dcterms:modified>
</cp:coreProperties>
</file>