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59E79" w14:textId="77777777" w:rsidR="0012238F" w:rsidRPr="00B058D7" w:rsidRDefault="0012238F" w:rsidP="0012238F">
      <w:pPr>
        <w:spacing w:after="0" w:line="240" w:lineRule="auto"/>
        <w:jc w:val="both"/>
        <w:rPr>
          <w:rFonts w:ascii="Calibri" w:hAnsi="Calibri" w:cs="Calibri"/>
          <w:b/>
          <w:sz w:val="24"/>
          <w:szCs w:val="24"/>
          <w:u w:val="single"/>
        </w:rPr>
      </w:pPr>
      <w:r w:rsidRPr="00B058D7">
        <w:rPr>
          <w:rFonts w:ascii="Calibri" w:hAnsi="Calibri" w:cs="Calibri"/>
          <w:b/>
          <w:sz w:val="24"/>
          <w:szCs w:val="24"/>
          <w:u w:val="single"/>
        </w:rPr>
        <w:t>2022/23 TO 2025/26 MEDIUM TERM FINANCIAL PLAN (MTFP)</w:t>
      </w:r>
    </w:p>
    <w:p w14:paraId="4C7D63E5" w14:textId="77777777" w:rsidR="0012238F" w:rsidRPr="00B058D7" w:rsidRDefault="0012238F" w:rsidP="0012238F">
      <w:pPr>
        <w:spacing w:after="0" w:line="240" w:lineRule="auto"/>
        <w:jc w:val="both"/>
        <w:rPr>
          <w:rFonts w:ascii="Calibri" w:hAnsi="Calibri" w:cs="Calibri"/>
          <w:sz w:val="24"/>
          <w:szCs w:val="24"/>
        </w:rPr>
      </w:pPr>
    </w:p>
    <w:p w14:paraId="016E1D2A" w14:textId="77777777" w:rsidR="0012238F" w:rsidRPr="00B058D7" w:rsidRDefault="0012238F" w:rsidP="0012238F">
      <w:pPr>
        <w:spacing w:after="0" w:line="240" w:lineRule="auto"/>
        <w:jc w:val="both"/>
        <w:rPr>
          <w:rFonts w:ascii="Calibri" w:hAnsi="Calibri" w:cs="Calibri"/>
          <w:sz w:val="24"/>
          <w:szCs w:val="24"/>
        </w:rPr>
      </w:pPr>
      <w:r w:rsidRPr="00B058D7">
        <w:rPr>
          <w:rFonts w:ascii="Calibri" w:hAnsi="Calibri" w:cs="Calibri"/>
          <w:sz w:val="24"/>
          <w:szCs w:val="24"/>
        </w:rPr>
        <w:t>The council’s Medium Term Financial Plan (MTFP) for the four financial years between 1 April 2021 and 31 March 2025 (2021/22 to 2024/25, or 2021/25) was presented to this Committee on 21 February 2021 and approved by Full Council on 9 March 2021.</w:t>
      </w:r>
    </w:p>
    <w:p w14:paraId="786186FB" w14:textId="77777777" w:rsidR="0012238F" w:rsidRPr="00B058D7" w:rsidRDefault="0012238F" w:rsidP="0012238F">
      <w:pPr>
        <w:spacing w:after="0" w:line="240" w:lineRule="auto"/>
        <w:jc w:val="both"/>
        <w:rPr>
          <w:rFonts w:ascii="Calibri" w:hAnsi="Calibri" w:cs="Calibri"/>
          <w:sz w:val="24"/>
          <w:szCs w:val="24"/>
        </w:rPr>
      </w:pPr>
    </w:p>
    <w:p w14:paraId="50844A43" w14:textId="77777777" w:rsidR="0012238F" w:rsidRPr="00B058D7" w:rsidRDefault="0012238F" w:rsidP="0012238F">
      <w:pPr>
        <w:spacing w:after="0" w:line="240" w:lineRule="auto"/>
        <w:jc w:val="both"/>
        <w:rPr>
          <w:rFonts w:ascii="Calibri" w:hAnsi="Calibri" w:cs="Calibri"/>
          <w:sz w:val="24"/>
          <w:szCs w:val="24"/>
        </w:rPr>
      </w:pPr>
      <w:r w:rsidRPr="00B058D7">
        <w:rPr>
          <w:rFonts w:ascii="Calibri" w:hAnsi="Calibri" w:cs="Calibri"/>
          <w:sz w:val="24"/>
          <w:szCs w:val="24"/>
        </w:rPr>
        <w:t>This document seeks to update the MTFP’s assumptions on expenditure, income and financing for the four years between 2022/23 and 2025/26 (2021/25).</w:t>
      </w:r>
    </w:p>
    <w:p w14:paraId="7E21D41D" w14:textId="77777777" w:rsidR="0012238F" w:rsidRPr="00B058D7" w:rsidRDefault="0012238F" w:rsidP="0012238F">
      <w:pPr>
        <w:spacing w:after="0" w:line="240" w:lineRule="auto"/>
        <w:jc w:val="both"/>
        <w:rPr>
          <w:rFonts w:ascii="Calibri" w:hAnsi="Calibri" w:cs="Calibri"/>
          <w:sz w:val="24"/>
          <w:szCs w:val="24"/>
        </w:rPr>
      </w:pPr>
    </w:p>
    <w:p w14:paraId="72D34C53" w14:textId="77777777" w:rsidR="0012238F" w:rsidRPr="00B058D7" w:rsidRDefault="0012238F" w:rsidP="0012238F">
      <w:pPr>
        <w:spacing w:after="0" w:line="240" w:lineRule="auto"/>
        <w:jc w:val="both"/>
        <w:rPr>
          <w:rFonts w:ascii="Calibri" w:hAnsi="Calibri" w:cs="Calibri"/>
          <w:sz w:val="24"/>
          <w:szCs w:val="24"/>
        </w:rPr>
      </w:pPr>
      <w:r w:rsidRPr="00B058D7">
        <w:rPr>
          <w:rFonts w:ascii="Calibri" w:hAnsi="Calibri" w:cs="Calibri"/>
          <w:sz w:val="24"/>
          <w:szCs w:val="24"/>
        </w:rPr>
        <w:t>The main aims of the MTFP are to:</w:t>
      </w:r>
    </w:p>
    <w:p w14:paraId="2F240CA8" w14:textId="77777777" w:rsidR="0012238F" w:rsidRPr="00B058D7" w:rsidRDefault="0012238F" w:rsidP="0012238F">
      <w:pPr>
        <w:spacing w:after="0" w:line="240" w:lineRule="auto"/>
        <w:jc w:val="both"/>
        <w:rPr>
          <w:rFonts w:ascii="Calibri" w:hAnsi="Calibri" w:cs="Calibri"/>
          <w:sz w:val="24"/>
          <w:szCs w:val="24"/>
        </w:rPr>
      </w:pPr>
    </w:p>
    <w:p w14:paraId="1506504A" w14:textId="77777777" w:rsidR="0012238F" w:rsidRPr="00B058D7" w:rsidRDefault="0012238F" w:rsidP="00B058D7">
      <w:pPr>
        <w:pStyle w:val="BodyTextIndent2"/>
        <w:numPr>
          <w:ilvl w:val="2"/>
          <w:numId w:val="27"/>
        </w:numPr>
        <w:spacing w:after="0" w:line="240" w:lineRule="auto"/>
        <w:ind w:left="426" w:hanging="284"/>
        <w:jc w:val="both"/>
        <w:rPr>
          <w:rFonts w:ascii="Calibri" w:hAnsi="Calibri" w:cs="Calibri"/>
          <w:bCs/>
          <w:sz w:val="24"/>
          <w:szCs w:val="24"/>
        </w:rPr>
      </w:pPr>
      <w:r w:rsidRPr="00B058D7">
        <w:rPr>
          <w:rFonts w:ascii="Calibri" w:hAnsi="Calibri" w:cs="Calibri"/>
          <w:bCs/>
          <w:sz w:val="24"/>
          <w:szCs w:val="24"/>
        </w:rPr>
        <w:t>deliver the council’s Community Plan objectives over the life of the relevant Community Plan;</w:t>
      </w:r>
    </w:p>
    <w:p w14:paraId="2E42F6C2" w14:textId="77777777" w:rsidR="0012238F" w:rsidRPr="00B058D7" w:rsidRDefault="0012238F" w:rsidP="00B058D7">
      <w:pPr>
        <w:pStyle w:val="BodyTextIndent2"/>
        <w:numPr>
          <w:ilvl w:val="2"/>
          <w:numId w:val="27"/>
        </w:numPr>
        <w:spacing w:after="0" w:line="240" w:lineRule="auto"/>
        <w:ind w:left="426" w:hanging="284"/>
        <w:jc w:val="both"/>
        <w:rPr>
          <w:rFonts w:ascii="Calibri" w:hAnsi="Calibri" w:cs="Calibri"/>
          <w:bCs/>
          <w:sz w:val="24"/>
          <w:szCs w:val="24"/>
        </w:rPr>
      </w:pPr>
      <w:r w:rsidRPr="00B058D7">
        <w:rPr>
          <w:rFonts w:ascii="Calibri" w:hAnsi="Calibri" w:cs="Calibri"/>
          <w:bCs/>
          <w:sz w:val="24"/>
          <w:szCs w:val="24"/>
        </w:rPr>
        <w:t xml:space="preserve">clearly present the council’s current predictions of its financial position between </w:t>
      </w:r>
      <w:r w:rsidRPr="00B058D7">
        <w:rPr>
          <w:rFonts w:ascii="Calibri" w:hAnsi="Calibri" w:cs="Calibri"/>
          <w:sz w:val="24"/>
          <w:szCs w:val="24"/>
        </w:rPr>
        <w:t>2022/23 and 2025/26</w:t>
      </w:r>
      <w:r w:rsidRPr="00B058D7">
        <w:rPr>
          <w:rFonts w:ascii="Calibri" w:hAnsi="Calibri" w:cs="Calibri"/>
          <w:bCs/>
          <w:sz w:val="24"/>
          <w:szCs w:val="24"/>
        </w:rPr>
        <w:t>; and</w:t>
      </w:r>
    </w:p>
    <w:p w14:paraId="5A013C14" w14:textId="77777777" w:rsidR="0012238F" w:rsidRPr="00B058D7" w:rsidRDefault="0012238F" w:rsidP="00B058D7">
      <w:pPr>
        <w:pStyle w:val="BodyTextIndent2"/>
        <w:numPr>
          <w:ilvl w:val="2"/>
          <w:numId w:val="27"/>
        </w:numPr>
        <w:spacing w:after="0" w:line="240" w:lineRule="auto"/>
        <w:ind w:left="426" w:hanging="284"/>
        <w:jc w:val="both"/>
        <w:rPr>
          <w:rFonts w:ascii="Calibri" w:hAnsi="Calibri" w:cs="Calibri"/>
          <w:bCs/>
          <w:sz w:val="24"/>
          <w:szCs w:val="24"/>
        </w:rPr>
      </w:pPr>
      <w:proofErr w:type="gramStart"/>
      <w:r w:rsidRPr="00B058D7">
        <w:rPr>
          <w:rFonts w:ascii="Calibri" w:hAnsi="Calibri" w:cs="Calibri"/>
          <w:bCs/>
          <w:sz w:val="24"/>
          <w:szCs w:val="24"/>
        </w:rPr>
        <w:t>enable</w:t>
      </w:r>
      <w:proofErr w:type="gramEnd"/>
      <w:r w:rsidRPr="00B058D7">
        <w:rPr>
          <w:rFonts w:ascii="Calibri" w:hAnsi="Calibri" w:cs="Calibri"/>
          <w:bCs/>
          <w:sz w:val="24"/>
          <w:szCs w:val="24"/>
        </w:rPr>
        <w:t xml:space="preserve"> members to make decisions which ensure the council’s future financial sustainability.</w:t>
      </w:r>
    </w:p>
    <w:p w14:paraId="7C6AAFAB" w14:textId="77777777" w:rsidR="0012238F" w:rsidRPr="00B058D7" w:rsidRDefault="0012238F" w:rsidP="0012238F">
      <w:pPr>
        <w:spacing w:after="0" w:line="240" w:lineRule="auto"/>
        <w:jc w:val="both"/>
        <w:rPr>
          <w:rFonts w:ascii="Calibri" w:hAnsi="Calibri" w:cs="Calibri"/>
          <w:sz w:val="24"/>
          <w:szCs w:val="24"/>
        </w:rPr>
      </w:pPr>
    </w:p>
    <w:p w14:paraId="23E21C3F" w14:textId="77777777" w:rsidR="0012238F" w:rsidRPr="00B058D7" w:rsidRDefault="0012238F" w:rsidP="0012238F">
      <w:pPr>
        <w:spacing w:after="0" w:line="240" w:lineRule="auto"/>
        <w:jc w:val="both"/>
        <w:rPr>
          <w:rFonts w:ascii="Calibri" w:hAnsi="Calibri" w:cs="Calibri"/>
          <w:sz w:val="24"/>
          <w:szCs w:val="24"/>
        </w:rPr>
      </w:pPr>
      <w:r w:rsidRPr="00B058D7">
        <w:rPr>
          <w:rFonts w:ascii="Calibri" w:hAnsi="Calibri" w:cs="Calibri"/>
          <w:sz w:val="24"/>
          <w:szCs w:val="24"/>
        </w:rPr>
        <w:t>The MTFP tries to do this by:</w:t>
      </w:r>
    </w:p>
    <w:p w14:paraId="346270BC" w14:textId="77777777" w:rsidR="0012238F" w:rsidRPr="00B058D7" w:rsidRDefault="0012238F" w:rsidP="0012238F">
      <w:pPr>
        <w:spacing w:after="0" w:line="240" w:lineRule="auto"/>
        <w:jc w:val="both"/>
        <w:rPr>
          <w:rFonts w:ascii="Calibri" w:hAnsi="Calibri" w:cs="Calibri"/>
          <w:bCs/>
          <w:sz w:val="24"/>
          <w:szCs w:val="24"/>
        </w:rPr>
      </w:pPr>
    </w:p>
    <w:p w14:paraId="3F8B9997" w14:textId="77777777" w:rsidR="0012238F" w:rsidRPr="00B058D7" w:rsidRDefault="0012238F" w:rsidP="00B058D7">
      <w:pPr>
        <w:pStyle w:val="BodyTextIndent2"/>
        <w:numPr>
          <w:ilvl w:val="0"/>
          <w:numId w:val="30"/>
        </w:numPr>
        <w:spacing w:after="0" w:line="240" w:lineRule="auto"/>
        <w:ind w:left="426" w:hanging="426"/>
        <w:jc w:val="both"/>
        <w:rPr>
          <w:rFonts w:ascii="Calibri" w:hAnsi="Calibri" w:cs="Calibri"/>
          <w:bCs/>
          <w:sz w:val="24"/>
          <w:szCs w:val="24"/>
        </w:rPr>
      </w:pPr>
      <w:r w:rsidRPr="00B058D7">
        <w:rPr>
          <w:rFonts w:ascii="Calibri" w:hAnsi="Calibri" w:cs="Calibri"/>
          <w:bCs/>
          <w:sz w:val="24"/>
          <w:szCs w:val="24"/>
        </w:rPr>
        <w:t>bringing together in one place all known factors which will affect the council’s financial position; and</w:t>
      </w:r>
    </w:p>
    <w:p w14:paraId="698FFFA8" w14:textId="77777777" w:rsidR="0012238F" w:rsidRPr="00B058D7" w:rsidRDefault="0012238F" w:rsidP="00B058D7">
      <w:pPr>
        <w:pStyle w:val="BodyTextIndent2"/>
        <w:numPr>
          <w:ilvl w:val="0"/>
          <w:numId w:val="30"/>
        </w:numPr>
        <w:spacing w:after="0" w:line="240" w:lineRule="auto"/>
        <w:ind w:left="426" w:hanging="426"/>
        <w:jc w:val="both"/>
        <w:rPr>
          <w:rFonts w:ascii="Calibri" w:hAnsi="Calibri" w:cs="Calibri"/>
          <w:bCs/>
          <w:sz w:val="24"/>
          <w:szCs w:val="24"/>
        </w:rPr>
      </w:pPr>
      <w:proofErr w:type="gramStart"/>
      <w:r w:rsidRPr="00B058D7">
        <w:rPr>
          <w:rFonts w:ascii="Calibri" w:hAnsi="Calibri" w:cs="Calibri"/>
          <w:bCs/>
          <w:sz w:val="24"/>
          <w:szCs w:val="24"/>
        </w:rPr>
        <w:t>matching</w:t>
      </w:r>
      <w:proofErr w:type="gramEnd"/>
      <w:r w:rsidRPr="00B058D7">
        <w:rPr>
          <w:rFonts w:ascii="Calibri" w:hAnsi="Calibri" w:cs="Calibri"/>
          <w:bCs/>
          <w:sz w:val="24"/>
          <w:szCs w:val="24"/>
        </w:rPr>
        <w:t xml:space="preserve"> how the council plans to spend to deliver its Community Plan objectives with the expected resources available to fund that spend.</w:t>
      </w:r>
    </w:p>
    <w:p w14:paraId="264E6843" w14:textId="5FFBD1A4" w:rsidR="00411D2D" w:rsidRPr="00B058D7" w:rsidRDefault="00411D2D" w:rsidP="003F2B4F">
      <w:pPr>
        <w:spacing w:after="0" w:line="240" w:lineRule="auto"/>
        <w:jc w:val="both"/>
        <w:rPr>
          <w:rFonts w:ascii="Calibri" w:hAnsi="Calibri" w:cs="Calibri"/>
          <w:sz w:val="24"/>
          <w:szCs w:val="24"/>
        </w:rPr>
      </w:pPr>
    </w:p>
    <w:p w14:paraId="67D43388" w14:textId="77777777" w:rsidR="00820AD0" w:rsidRPr="00B058D7" w:rsidRDefault="00820AD0" w:rsidP="00C01D2B">
      <w:pPr>
        <w:pStyle w:val="ListParagraph"/>
        <w:numPr>
          <w:ilvl w:val="0"/>
          <w:numId w:val="25"/>
        </w:numPr>
        <w:spacing w:after="0" w:line="240" w:lineRule="auto"/>
        <w:jc w:val="both"/>
        <w:rPr>
          <w:rFonts w:ascii="Calibri" w:hAnsi="Calibri" w:cs="Calibri"/>
          <w:b/>
          <w:sz w:val="24"/>
          <w:szCs w:val="24"/>
          <w:u w:val="single"/>
        </w:rPr>
      </w:pPr>
      <w:bookmarkStart w:id="0" w:name="_Ref32305589"/>
      <w:r w:rsidRPr="00B058D7">
        <w:rPr>
          <w:rFonts w:ascii="Calibri" w:hAnsi="Calibri" w:cs="Calibri"/>
          <w:b/>
          <w:sz w:val="24"/>
          <w:szCs w:val="24"/>
          <w:u w:val="single"/>
        </w:rPr>
        <w:t>Financial Projections</w:t>
      </w:r>
      <w:bookmarkEnd w:id="0"/>
    </w:p>
    <w:p w14:paraId="52C9C863" w14:textId="77777777" w:rsidR="006C3BD6" w:rsidRPr="00B058D7" w:rsidRDefault="006C3BD6" w:rsidP="003F2B4F">
      <w:pPr>
        <w:spacing w:after="0" w:line="240" w:lineRule="auto"/>
        <w:jc w:val="both"/>
        <w:rPr>
          <w:rFonts w:ascii="Calibri" w:hAnsi="Calibri" w:cs="Calibri"/>
          <w:sz w:val="24"/>
          <w:szCs w:val="24"/>
        </w:rPr>
      </w:pPr>
    </w:p>
    <w:p w14:paraId="221971F5" w14:textId="5FED1041" w:rsidR="006C3BD6" w:rsidRPr="00B058D7" w:rsidRDefault="00AA76D1" w:rsidP="00AF09F0">
      <w:pPr>
        <w:spacing w:after="0" w:line="240" w:lineRule="auto"/>
        <w:jc w:val="both"/>
        <w:rPr>
          <w:rFonts w:ascii="Calibri" w:hAnsi="Calibri" w:cs="Calibri"/>
          <w:sz w:val="24"/>
          <w:szCs w:val="24"/>
        </w:rPr>
      </w:pPr>
      <w:r w:rsidRPr="00B058D7">
        <w:rPr>
          <w:rFonts w:ascii="Calibri" w:hAnsi="Calibri" w:cs="Calibri"/>
          <w:sz w:val="24"/>
          <w:szCs w:val="24"/>
        </w:rPr>
        <w:t>The table below shows high level budget projections for the next four years</w:t>
      </w:r>
      <w:r w:rsidR="00B66DE3" w:rsidRPr="00B058D7">
        <w:rPr>
          <w:rFonts w:ascii="Calibri" w:hAnsi="Calibri" w:cs="Calibri"/>
          <w:sz w:val="24"/>
          <w:szCs w:val="24"/>
        </w:rPr>
        <w:t>, assuming annual increases of 1.94% in the rate of average band D council</w:t>
      </w:r>
      <w:r w:rsidR="002E08D6" w:rsidRPr="00B058D7">
        <w:rPr>
          <w:rFonts w:ascii="Calibri" w:hAnsi="Calibri" w:cs="Calibri"/>
          <w:sz w:val="24"/>
          <w:szCs w:val="24"/>
        </w:rPr>
        <w:t xml:space="preserve"> tax (excluding local precepts), together with annual increases in the council tax base based on forecast housing growth.</w:t>
      </w:r>
    </w:p>
    <w:p w14:paraId="45357E60" w14:textId="77777777" w:rsidR="006C3BD6" w:rsidRPr="00B058D7" w:rsidRDefault="006C3BD6" w:rsidP="003F2B4F">
      <w:pPr>
        <w:spacing w:after="0" w:line="240" w:lineRule="auto"/>
        <w:jc w:val="both"/>
        <w:rPr>
          <w:rFonts w:ascii="Calibri" w:hAnsi="Calibri" w:cs="Calibri"/>
          <w:sz w:val="16"/>
          <w:szCs w:val="16"/>
        </w:rPr>
      </w:pPr>
    </w:p>
    <w:tbl>
      <w:tblPr>
        <w:tblStyle w:val="TableGrid"/>
        <w:tblW w:w="9746" w:type="dxa"/>
        <w:tblInd w:w="108" w:type="dxa"/>
        <w:tblLook w:val="04A0" w:firstRow="1" w:lastRow="0" w:firstColumn="1" w:lastColumn="0" w:noHBand="0" w:noVBand="1"/>
      </w:tblPr>
      <w:tblGrid>
        <w:gridCol w:w="3981"/>
        <w:gridCol w:w="1441"/>
        <w:gridCol w:w="1441"/>
        <w:gridCol w:w="1441"/>
        <w:gridCol w:w="1442"/>
      </w:tblGrid>
      <w:tr w:rsidR="0007337A" w:rsidRPr="00B058D7" w14:paraId="7479E9B8" w14:textId="77777777" w:rsidTr="0099015B">
        <w:tc>
          <w:tcPr>
            <w:tcW w:w="3981" w:type="dxa"/>
            <w:vAlign w:val="center"/>
          </w:tcPr>
          <w:p w14:paraId="303DEF75" w14:textId="77777777" w:rsidR="0007337A" w:rsidRPr="00B058D7" w:rsidRDefault="0007337A" w:rsidP="0007337A">
            <w:pPr>
              <w:jc w:val="both"/>
              <w:rPr>
                <w:rFonts w:ascii="Calibri" w:hAnsi="Calibri" w:cs="Calibri"/>
                <w:sz w:val="24"/>
                <w:szCs w:val="24"/>
              </w:rPr>
            </w:pPr>
          </w:p>
        </w:tc>
        <w:tc>
          <w:tcPr>
            <w:tcW w:w="1441" w:type="dxa"/>
            <w:vAlign w:val="center"/>
          </w:tcPr>
          <w:p w14:paraId="635E7BA8" w14:textId="60336A6C" w:rsidR="0007337A" w:rsidRPr="00B058D7" w:rsidRDefault="0007337A" w:rsidP="0007337A">
            <w:pPr>
              <w:rPr>
                <w:rFonts w:ascii="Calibri" w:hAnsi="Calibri" w:cs="Calibri"/>
                <w:b/>
                <w:sz w:val="24"/>
                <w:szCs w:val="24"/>
              </w:rPr>
            </w:pPr>
            <w:r w:rsidRPr="00B058D7">
              <w:rPr>
                <w:rFonts w:ascii="Calibri" w:hAnsi="Calibri" w:cs="Calibri"/>
                <w:b/>
                <w:sz w:val="24"/>
                <w:szCs w:val="24"/>
              </w:rPr>
              <w:t>2022/23 (£m)</w:t>
            </w:r>
          </w:p>
        </w:tc>
        <w:tc>
          <w:tcPr>
            <w:tcW w:w="1441" w:type="dxa"/>
            <w:vAlign w:val="center"/>
          </w:tcPr>
          <w:p w14:paraId="58B47C83" w14:textId="77777777" w:rsidR="0007337A" w:rsidRPr="00B058D7" w:rsidRDefault="0007337A" w:rsidP="0007337A">
            <w:pPr>
              <w:rPr>
                <w:rFonts w:ascii="Calibri" w:hAnsi="Calibri" w:cs="Calibri"/>
                <w:b/>
                <w:sz w:val="24"/>
                <w:szCs w:val="24"/>
              </w:rPr>
            </w:pPr>
            <w:r w:rsidRPr="00B058D7">
              <w:rPr>
                <w:rFonts w:ascii="Calibri" w:hAnsi="Calibri" w:cs="Calibri"/>
                <w:b/>
                <w:sz w:val="24"/>
                <w:szCs w:val="24"/>
              </w:rPr>
              <w:t>2023/24</w:t>
            </w:r>
          </w:p>
          <w:p w14:paraId="28F3F145" w14:textId="1F198CC0" w:rsidR="0007337A" w:rsidRPr="00B058D7" w:rsidRDefault="0007337A" w:rsidP="0007337A">
            <w:pPr>
              <w:rPr>
                <w:rFonts w:ascii="Calibri" w:hAnsi="Calibri" w:cs="Calibri"/>
                <w:b/>
                <w:sz w:val="24"/>
                <w:szCs w:val="24"/>
              </w:rPr>
            </w:pPr>
            <w:r w:rsidRPr="00B058D7">
              <w:rPr>
                <w:rFonts w:ascii="Calibri" w:hAnsi="Calibri" w:cs="Calibri"/>
                <w:b/>
                <w:sz w:val="24"/>
                <w:szCs w:val="24"/>
              </w:rPr>
              <w:t>(£m)</w:t>
            </w:r>
          </w:p>
        </w:tc>
        <w:tc>
          <w:tcPr>
            <w:tcW w:w="1441" w:type="dxa"/>
            <w:vAlign w:val="center"/>
          </w:tcPr>
          <w:p w14:paraId="7154146B" w14:textId="6075767A" w:rsidR="0007337A" w:rsidRPr="00B058D7" w:rsidRDefault="0007337A" w:rsidP="0007337A">
            <w:pPr>
              <w:rPr>
                <w:rFonts w:ascii="Calibri" w:hAnsi="Calibri" w:cs="Calibri"/>
                <w:b/>
                <w:sz w:val="24"/>
                <w:szCs w:val="24"/>
              </w:rPr>
            </w:pPr>
            <w:r w:rsidRPr="00B058D7">
              <w:rPr>
                <w:rFonts w:ascii="Calibri" w:hAnsi="Calibri" w:cs="Calibri"/>
                <w:b/>
                <w:sz w:val="24"/>
                <w:szCs w:val="24"/>
              </w:rPr>
              <w:t>2024/25 (£m)</w:t>
            </w:r>
          </w:p>
        </w:tc>
        <w:tc>
          <w:tcPr>
            <w:tcW w:w="1442" w:type="dxa"/>
            <w:vAlign w:val="center"/>
          </w:tcPr>
          <w:p w14:paraId="3CB12F8C" w14:textId="1504DCB4" w:rsidR="0007337A" w:rsidRPr="00B058D7" w:rsidRDefault="0007337A" w:rsidP="0007337A">
            <w:pPr>
              <w:rPr>
                <w:rFonts w:ascii="Calibri" w:hAnsi="Calibri" w:cs="Calibri"/>
                <w:b/>
                <w:sz w:val="24"/>
                <w:szCs w:val="24"/>
              </w:rPr>
            </w:pPr>
            <w:r w:rsidRPr="00B058D7">
              <w:rPr>
                <w:rFonts w:ascii="Calibri" w:hAnsi="Calibri" w:cs="Calibri"/>
                <w:b/>
                <w:sz w:val="24"/>
                <w:szCs w:val="24"/>
              </w:rPr>
              <w:t>2025/26 (£m)</w:t>
            </w:r>
          </w:p>
        </w:tc>
      </w:tr>
      <w:tr w:rsidR="002A531F" w:rsidRPr="00B058D7" w14:paraId="1DCC346B" w14:textId="77777777" w:rsidTr="0099015B">
        <w:tc>
          <w:tcPr>
            <w:tcW w:w="3981" w:type="dxa"/>
            <w:vAlign w:val="center"/>
          </w:tcPr>
          <w:p w14:paraId="04082C36" w14:textId="77777777" w:rsidR="002A531F" w:rsidRPr="00B058D7" w:rsidRDefault="002A531F" w:rsidP="002A531F">
            <w:pPr>
              <w:jc w:val="both"/>
              <w:rPr>
                <w:rFonts w:ascii="Calibri" w:hAnsi="Calibri" w:cs="Calibri"/>
                <w:sz w:val="24"/>
                <w:szCs w:val="24"/>
              </w:rPr>
            </w:pPr>
            <w:r w:rsidRPr="00B058D7">
              <w:rPr>
                <w:rFonts w:ascii="Calibri" w:hAnsi="Calibri" w:cs="Calibri"/>
                <w:sz w:val="24"/>
                <w:szCs w:val="24"/>
              </w:rPr>
              <w:t>Net Service Expenditure (less capital charges)</w:t>
            </w:r>
          </w:p>
        </w:tc>
        <w:tc>
          <w:tcPr>
            <w:tcW w:w="1441" w:type="dxa"/>
            <w:vAlign w:val="center"/>
          </w:tcPr>
          <w:p w14:paraId="4894CA8A" w14:textId="6DEEE190" w:rsidR="002A531F" w:rsidRPr="00B058D7" w:rsidRDefault="002A531F" w:rsidP="002A531F">
            <w:pPr>
              <w:jc w:val="right"/>
              <w:rPr>
                <w:rFonts w:ascii="Calibri" w:hAnsi="Calibri" w:cs="Calibri"/>
                <w:sz w:val="24"/>
                <w:szCs w:val="24"/>
                <w:highlight w:val="cyan"/>
              </w:rPr>
            </w:pPr>
            <w:r w:rsidRPr="00B058D7">
              <w:rPr>
                <w:rFonts w:ascii="Calibri" w:hAnsi="Calibri" w:cs="Calibri"/>
                <w:sz w:val="24"/>
                <w:szCs w:val="24"/>
              </w:rPr>
              <w:t>14.388</w:t>
            </w:r>
          </w:p>
        </w:tc>
        <w:tc>
          <w:tcPr>
            <w:tcW w:w="1441" w:type="dxa"/>
            <w:vAlign w:val="center"/>
          </w:tcPr>
          <w:p w14:paraId="0F2AEF72" w14:textId="20FE4D30" w:rsidR="002A531F" w:rsidRPr="00B058D7" w:rsidRDefault="002A531F" w:rsidP="002A531F">
            <w:pPr>
              <w:jc w:val="right"/>
              <w:rPr>
                <w:rFonts w:ascii="Calibri" w:hAnsi="Calibri" w:cs="Calibri"/>
                <w:sz w:val="24"/>
                <w:szCs w:val="24"/>
                <w:highlight w:val="cyan"/>
              </w:rPr>
            </w:pPr>
            <w:r w:rsidRPr="00B058D7">
              <w:rPr>
                <w:rFonts w:ascii="Calibri" w:hAnsi="Calibri" w:cs="Calibri"/>
                <w:sz w:val="24"/>
                <w:szCs w:val="24"/>
              </w:rPr>
              <w:t>14.517</w:t>
            </w:r>
          </w:p>
        </w:tc>
        <w:tc>
          <w:tcPr>
            <w:tcW w:w="1441" w:type="dxa"/>
            <w:vAlign w:val="center"/>
          </w:tcPr>
          <w:p w14:paraId="7D309DAF" w14:textId="003DC921" w:rsidR="002A531F" w:rsidRPr="00B058D7" w:rsidRDefault="002A531F" w:rsidP="002A531F">
            <w:pPr>
              <w:jc w:val="right"/>
              <w:rPr>
                <w:rFonts w:ascii="Calibri" w:hAnsi="Calibri" w:cs="Calibri"/>
                <w:sz w:val="24"/>
                <w:szCs w:val="24"/>
                <w:highlight w:val="cyan"/>
              </w:rPr>
            </w:pPr>
            <w:r w:rsidRPr="00B058D7">
              <w:rPr>
                <w:rFonts w:ascii="Calibri" w:hAnsi="Calibri" w:cs="Calibri"/>
                <w:sz w:val="24"/>
                <w:szCs w:val="24"/>
              </w:rPr>
              <w:t>14.900</w:t>
            </w:r>
          </w:p>
        </w:tc>
        <w:tc>
          <w:tcPr>
            <w:tcW w:w="1442" w:type="dxa"/>
            <w:vAlign w:val="center"/>
          </w:tcPr>
          <w:p w14:paraId="4D1E4865" w14:textId="52B9D6BE" w:rsidR="002A531F" w:rsidRPr="00B058D7" w:rsidRDefault="002A531F" w:rsidP="002A531F">
            <w:pPr>
              <w:jc w:val="right"/>
              <w:rPr>
                <w:rFonts w:ascii="Calibri" w:hAnsi="Calibri" w:cs="Calibri"/>
                <w:sz w:val="24"/>
                <w:szCs w:val="24"/>
                <w:highlight w:val="cyan"/>
              </w:rPr>
            </w:pPr>
            <w:r w:rsidRPr="00B058D7">
              <w:rPr>
                <w:rFonts w:ascii="Calibri" w:hAnsi="Calibri" w:cs="Calibri"/>
                <w:sz w:val="24"/>
                <w:szCs w:val="24"/>
              </w:rPr>
              <w:t>15.343</w:t>
            </w:r>
          </w:p>
        </w:tc>
      </w:tr>
      <w:tr w:rsidR="002A531F" w:rsidRPr="00B058D7" w14:paraId="3A483A46" w14:textId="77777777" w:rsidTr="0099015B">
        <w:tc>
          <w:tcPr>
            <w:tcW w:w="3981" w:type="dxa"/>
            <w:vAlign w:val="center"/>
          </w:tcPr>
          <w:p w14:paraId="3E03ABA9" w14:textId="77777777" w:rsidR="002A531F" w:rsidRPr="00B058D7" w:rsidRDefault="002A531F" w:rsidP="002A531F">
            <w:pPr>
              <w:jc w:val="both"/>
              <w:rPr>
                <w:rFonts w:ascii="Calibri" w:hAnsi="Calibri" w:cs="Calibri"/>
                <w:sz w:val="24"/>
                <w:szCs w:val="24"/>
              </w:rPr>
            </w:pPr>
            <w:r w:rsidRPr="00B058D7">
              <w:rPr>
                <w:rFonts w:ascii="Calibri" w:hAnsi="Calibri" w:cs="Calibri"/>
                <w:sz w:val="24"/>
                <w:szCs w:val="24"/>
              </w:rPr>
              <w:t>Total Other Expenditure</w:t>
            </w:r>
          </w:p>
        </w:tc>
        <w:tc>
          <w:tcPr>
            <w:tcW w:w="1441" w:type="dxa"/>
            <w:vAlign w:val="center"/>
          </w:tcPr>
          <w:p w14:paraId="2DDD547A" w14:textId="6B71E965" w:rsidR="002A531F" w:rsidRPr="00B058D7" w:rsidRDefault="002A531F" w:rsidP="002A531F">
            <w:pPr>
              <w:jc w:val="right"/>
              <w:rPr>
                <w:rFonts w:ascii="Calibri" w:hAnsi="Calibri" w:cs="Calibri"/>
                <w:sz w:val="24"/>
                <w:szCs w:val="24"/>
                <w:highlight w:val="cyan"/>
              </w:rPr>
            </w:pPr>
            <w:r w:rsidRPr="00B058D7">
              <w:rPr>
                <w:rFonts w:ascii="Calibri" w:hAnsi="Calibri" w:cs="Calibri"/>
                <w:sz w:val="24"/>
                <w:szCs w:val="24"/>
              </w:rPr>
              <w:t>1.172</w:t>
            </w:r>
          </w:p>
        </w:tc>
        <w:tc>
          <w:tcPr>
            <w:tcW w:w="1441" w:type="dxa"/>
            <w:vAlign w:val="center"/>
          </w:tcPr>
          <w:p w14:paraId="1EFE9D3F" w14:textId="6CEE591D" w:rsidR="002A531F" w:rsidRPr="00B058D7" w:rsidRDefault="002A531F" w:rsidP="002A531F">
            <w:pPr>
              <w:jc w:val="right"/>
              <w:rPr>
                <w:rFonts w:ascii="Calibri" w:hAnsi="Calibri" w:cs="Calibri"/>
                <w:sz w:val="24"/>
                <w:szCs w:val="24"/>
                <w:highlight w:val="cyan"/>
              </w:rPr>
            </w:pPr>
            <w:r w:rsidRPr="00B058D7">
              <w:rPr>
                <w:rFonts w:ascii="Calibri" w:hAnsi="Calibri" w:cs="Calibri"/>
                <w:sz w:val="24"/>
                <w:szCs w:val="24"/>
              </w:rPr>
              <w:t>1.877</w:t>
            </w:r>
          </w:p>
        </w:tc>
        <w:tc>
          <w:tcPr>
            <w:tcW w:w="1441" w:type="dxa"/>
            <w:vAlign w:val="center"/>
          </w:tcPr>
          <w:p w14:paraId="28E333F5" w14:textId="658AC994" w:rsidR="002A531F" w:rsidRPr="00B058D7" w:rsidRDefault="002A531F" w:rsidP="002A531F">
            <w:pPr>
              <w:jc w:val="right"/>
              <w:rPr>
                <w:rFonts w:ascii="Calibri" w:hAnsi="Calibri" w:cs="Calibri"/>
                <w:sz w:val="24"/>
                <w:szCs w:val="24"/>
                <w:highlight w:val="cyan"/>
              </w:rPr>
            </w:pPr>
            <w:r w:rsidRPr="00B058D7">
              <w:rPr>
                <w:rFonts w:ascii="Calibri" w:hAnsi="Calibri" w:cs="Calibri"/>
                <w:sz w:val="24"/>
                <w:szCs w:val="24"/>
              </w:rPr>
              <w:t>1.874</w:t>
            </w:r>
          </w:p>
        </w:tc>
        <w:tc>
          <w:tcPr>
            <w:tcW w:w="1442" w:type="dxa"/>
            <w:vAlign w:val="center"/>
          </w:tcPr>
          <w:p w14:paraId="2F4D0F14" w14:textId="56EA46EE" w:rsidR="002A531F" w:rsidRPr="00B058D7" w:rsidRDefault="002A531F" w:rsidP="002A531F">
            <w:pPr>
              <w:jc w:val="right"/>
              <w:rPr>
                <w:rFonts w:ascii="Calibri" w:hAnsi="Calibri" w:cs="Calibri"/>
                <w:sz w:val="24"/>
                <w:szCs w:val="24"/>
                <w:highlight w:val="cyan"/>
              </w:rPr>
            </w:pPr>
            <w:r w:rsidRPr="00B058D7">
              <w:rPr>
                <w:rFonts w:ascii="Calibri" w:hAnsi="Calibri" w:cs="Calibri"/>
                <w:sz w:val="24"/>
                <w:szCs w:val="24"/>
              </w:rPr>
              <w:t>1.898</w:t>
            </w:r>
          </w:p>
        </w:tc>
      </w:tr>
      <w:tr w:rsidR="002A531F" w:rsidRPr="00B058D7" w14:paraId="3EC11253" w14:textId="77777777" w:rsidTr="0099015B">
        <w:tc>
          <w:tcPr>
            <w:tcW w:w="3981" w:type="dxa"/>
            <w:vAlign w:val="center"/>
          </w:tcPr>
          <w:p w14:paraId="7FF05842" w14:textId="77777777" w:rsidR="002A531F" w:rsidRPr="00B058D7" w:rsidRDefault="002A531F" w:rsidP="002A531F">
            <w:pPr>
              <w:jc w:val="both"/>
              <w:rPr>
                <w:rFonts w:ascii="Calibri" w:hAnsi="Calibri" w:cs="Calibri"/>
                <w:b/>
                <w:sz w:val="24"/>
                <w:szCs w:val="24"/>
              </w:rPr>
            </w:pPr>
            <w:r w:rsidRPr="00B058D7">
              <w:rPr>
                <w:rFonts w:ascii="Calibri" w:hAnsi="Calibri" w:cs="Calibri"/>
                <w:b/>
                <w:sz w:val="24"/>
                <w:szCs w:val="24"/>
              </w:rPr>
              <w:t>Total Expenditure</w:t>
            </w:r>
          </w:p>
        </w:tc>
        <w:tc>
          <w:tcPr>
            <w:tcW w:w="1441" w:type="dxa"/>
            <w:vAlign w:val="center"/>
          </w:tcPr>
          <w:p w14:paraId="4276CB18" w14:textId="1CAD289F" w:rsidR="002A531F" w:rsidRPr="00B058D7" w:rsidRDefault="002A531F" w:rsidP="002A531F">
            <w:pPr>
              <w:jc w:val="right"/>
              <w:rPr>
                <w:rFonts w:ascii="Calibri" w:hAnsi="Calibri" w:cs="Calibri"/>
                <w:b/>
                <w:sz w:val="24"/>
                <w:szCs w:val="24"/>
              </w:rPr>
            </w:pPr>
            <w:r w:rsidRPr="00B058D7">
              <w:rPr>
                <w:rFonts w:ascii="Calibri" w:hAnsi="Calibri" w:cs="Calibri"/>
                <w:b/>
                <w:bCs/>
                <w:sz w:val="24"/>
                <w:szCs w:val="24"/>
              </w:rPr>
              <w:t>15.560</w:t>
            </w:r>
          </w:p>
        </w:tc>
        <w:tc>
          <w:tcPr>
            <w:tcW w:w="1441" w:type="dxa"/>
            <w:vAlign w:val="center"/>
          </w:tcPr>
          <w:p w14:paraId="625A3FF1" w14:textId="1887CA50" w:rsidR="002A531F" w:rsidRPr="00B058D7" w:rsidRDefault="002A531F" w:rsidP="002A531F">
            <w:pPr>
              <w:jc w:val="right"/>
              <w:rPr>
                <w:rFonts w:ascii="Calibri" w:hAnsi="Calibri" w:cs="Calibri"/>
                <w:b/>
                <w:sz w:val="24"/>
                <w:szCs w:val="24"/>
              </w:rPr>
            </w:pPr>
            <w:r w:rsidRPr="00B058D7">
              <w:rPr>
                <w:rFonts w:ascii="Calibri" w:hAnsi="Calibri" w:cs="Calibri"/>
                <w:b/>
                <w:bCs/>
                <w:sz w:val="24"/>
                <w:szCs w:val="24"/>
              </w:rPr>
              <w:t>16.394</w:t>
            </w:r>
          </w:p>
        </w:tc>
        <w:tc>
          <w:tcPr>
            <w:tcW w:w="1441" w:type="dxa"/>
            <w:vAlign w:val="center"/>
          </w:tcPr>
          <w:p w14:paraId="3B53F3CB" w14:textId="59A21FA5" w:rsidR="002A531F" w:rsidRPr="00B058D7" w:rsidRDefault="002A531F" w:rsidP="002A531F">
            <w:pPr>
              <w:jc w:val="right"/>
              <w:rPr>
                <w:rFonts w:ascii="Calibri" w:hAnsi="Calibri" w:cs="Calibri"/>
                <w:b/>
                <w:sz w:val="24"/>
                <w:szCs w:val="24"/>
              </w:rPr>
            </w:pPr>
            <w:r w:rsidRPr="00B058D7">
              <w:rPr>
                <w:rFonts w:ascii="Calibri" w:hAnsi="Calibri" w:cs="Calibri"/>
                <w:b/>
                <w:bCs/>
                <w:sz w:val="24"/>
                <w:szCs w:val="24"/>
              </w:rPr>
              <w:t>16.774</w:t>
            </w:r>
          </w:p>
        </w:tc>
        <w:tc>
          <w:tcPr>
            <w:tcW w:w="1442" w:type="dxa"/>
            <w:vAlign w:val="center"/>
          </w:tcPr>
          <w:p w14:paraId="1EBC7429" w14:textId="3DA28A66" w:rsidR="002A531F" w:rsidRPr="00B058D7" w:rsidRDefault="002A531F" w:rsidP="002A531F">
            <w:pPr>
              <w:jc w:val="right"/>
              <w:rPr>
                <w:rFonts w:ascii="Calibri" w:hAnsi="Calibri" w:cs="Calibri"/>
                <w:b/>
                <w:sz w:val="24"/>
                <w:szCs w:val="24"/>
              </w:rPr>
            </w:pPr>
            <w:r w:rsidRPr="00B058D7">
              <w:rPr>
                <w:rFonts w:ascii="Calibri" w:hAnsi="Calibri" w:cs="Calibri"/>
                <w:b/>
                <w:bCs/>
                <w:sz w:val="24"/>
                <w:szCs w:val="24"/>
              </w:rPr>
              <w:t>17.241</w:t>
            </w:r>
          </w:p>
        </w:tc>
      </w:tr>
      <w:tr w:rsidR="00621342" w:rsidRPr="00B058D7" w14:paraId="381A34AC" w14:textId="77777777" w:rsidTr="0099015B">
        <w:tc>
          <w:tcPr>
            <w:tcW w:w="3981" w:type="dxa"/>
            <w:vAlign w:val="center"/>
          </w:tcPr>
          <w:p w14:paraId="0FE8D44B" w14:textId="77777777" w:rsidR="00621342" w:rsidRPr="00B058D7" w:rsidRDefault="00621342" w:rsidP="00621342">
            <w:pPr>
              <w:jc w:val="both"/>
              <w:rPr>
                <w:rFonts w:ascii="Calibri" w:hAnsi="Calibri" w:cs="Calibri"/>
                <w:sz w:val="24"/>
                <w:szCs w:val="24"/>
              </w:rPr>
            </w:pPr>
          </w:p>
        </w:tc>
        <w:tc>
          <w:tcPr>
            <w:tcW w:w="1441" w:type="dxa"/>
            <w:vAlign w:val="center"/>
          </w:tcPr>
          <w:p w14:paraId="7225086D" w14:textId="2402887E" w:rsidR="00621342" w:rsidRPr="00B058D7" w:rsidRDefault="00621342" w:rsidP="00621342">
            <w:pPr>
              <w:jc w:val="right"/>
              <w:rPr>
                <w:rFonts w:ascii="Calibri" w:hAnsi="Calibri" w:cs="Calibri"/>
                <w:sz w:val="24"/>
                <w:szCs w:val="24"/>
              </w:rPr>
            </w:pPr>
            <w:r w:rsidRPr="00B058D7">
              <w:rPr>
                <w:rFonts w:ascii="Calibri" w:hAnsi="Calibri" w:cs="Calibri"/>
                <w:sz w:val="24"/>
                <w:szCs w:val="24"/>
              </w:rPr>
              <w:t> </w:t>
            </w:r>
          </w:p>
        </w:tc>
        <w:tc>
          <w:tcPr>
            <w:tcW w:w="1441" w:type="dxa"/>
            <w:vAlign w:val="center"/>
          </w:tcPr>
          <w:p w14:paraId="11C12CDF" w14:textId="46C99B9B" w:rsidR="00621342" w:rsidRPr="00B058D7" w:rsidRDefault="00621342" w:rsidP="00621342">
            <w:pPr>
              <w:jc w:val="right"/>
              <w:rPr>
                <w:rFonts w:ascii="Calibri" w:hAnsi="Calibri" w:cs="Calibri"/>
                <w:sz w:val="24"/>
                <w:szCs w:val="24"/>
              </w:rPr>
            </w:pPr>
            <w:r w:rsidRPr="00B058D7">
              <w:rPr>
                <w:rFonts w:ascii="Calibri" w:hAnsi="Calibri" w:cs="Calibri"/>
                <w:sz w:val="24"/>
                <w:szCs w:val="24"/>
              </w:rPr>
              <w:t> </w:t>
            </w:r>
          </w:p>
        </w:tc>
        <w:tc>
          <w:tcPr>
            <w:tcW w:w="1441" w:type="dxa"/>
            <w:vAlign w:val="center"/>
          </w:tcPr>
          <w:p w14:paraId="3AE31073" w14:textId="6221C303" w:rsidR="00621342" w:rsidRPr="00B058D7" w:rsidRDefault="00621342" w:rsidP="00621342">
            <w:pPr>
              <w:jc w:val="right"/>
              <w:rPr>
                <w:rFonts w:ascii="Calibri" w:hAnsi="Calibri" w:cs="Calibri"/>
                <w:sz w:val="24"/>
                <w:szCs w:val="24"/>
              </w:rPr>
            </w:pPr>
            <w:r w:rsidRPr="00B058D7">
              <w:rPr>
                <w:rFonts w:ascii="Calibri" w:hAnsi="Calibri" w:cs="Calibri"/>
                <w:sz w:val="24"/>
                <w:szCs w:val="24"/>
              </w:rPr>
              <w:t> </w:t>
            </w:r>
          </w:p>
        </w:tc>
        <w:tc>
          <w:tcPr>
            <w:tcW w:w="1442" w:type="dxa"/>
            <w:vAlign w:val="center"/>
          </w:tcPr>
          <w:p w14:paraId="33FAD06A" w14:textId="5F392DF5" w:rsidR="00621342" w:rsidRPr="00B058D7" w:rsidRDefault="00621342" w:rsidP="00621342">
            <w:pPr>
              <w:jc w:val="right"/>
              <w:rPr>
                <w:rFonts w:ascii="Calibri" w:hAnsi="Calibri" w:cs="Calibri"/>
                <w:sz w:val="24"/>
                <w:szCs w:val="24"/>
              </w:rPr>
            </w:pPr>
            <w:r w:rsidRPr="00B058D7">
              <w:rPr>
                <w:rFonts w:ascii="Calibri" w:hAnsi="Calibri" w:cs="Calibri"/>
                <w:sz w:val="24"/>
                <w:szCs w:val="24"/>
              </w:rPr>
              <w:t> </w:t>
            </w:r>
          </w:p>
        </w:tc>
      </w:tr>
      <w:tr w:rsidR="00093617" w:rsidRPr="00B058D7" w14:paraId="31742A72" w14:textId="77777777" w:rsidTr="00236A60">
        <w:tc>
          <w:tcPr>
            <w:tcW w:w="3981" w:type="dxa"/>
            <w:vAlign w:val="center"/>
          </w:tcPr>
          <w:p w14:paraId="0B2D88CF" w14:textId="08F2C6BB" w:rsidR="00093617" w:rsidRPr="00B058D7" w:rsidRDefault="00093617" w:rsidP="00236A60">
            <w:pPr>
              <w:jc w:val="both"/>
              <w:rPr>
                <w:rFonts w:ascii="Calibri" w:hAnsi="Calibri" w:cs="Calibri"/>
                <w:sz w:val="24"/>
                <w:szCs w:val="24"/>
              </w:rPr>
            </w:pPr>
            <w:r w:rsidRPr="00B058D7">
              <w:rPr>
                <w:rFonts w:ascii="Calibri" w:hAnsi="Calibri" w:cs="Calibri"/>
                <w:sz w:val="24"/>
                <w:szCs w:val="24"/>
              </w:rPr>
              <w:t>Business Rates: receivable annually</w:t>
            </w:r>
          </w:p>
        </w:tc>
        <w:tc>
          <w:tcPr>
            <w:tcW w:w="1441" w:type="dxa"/>
            <w:vAlign w:val="center"/>
          </w:tcPr>
          <w:p w14:paraId="6CE6337B" w14:textId="77777777" w:rsidR="00093617" w:rsidRPr="00B058D7" w:rsidRDefault="00093617" w:rsidP="00236A60">
            <w:pPr>
              <w:jc w:val="right"/>
              <w:rPr>
                <w:rFonts w:ascii="Calibri" w:hAnsi="Calibri" w:cs="Calibri"/>
                <w:color w:val="FF0000"/>
                <w:sz w:val="24"/>
                <w:szCs w:val="24"/>
              </w:rPr>
            </w:pPr>
            <w:r w:rsidRPr="00B058D7">
              <w:rPr>
                <w:rFonts w:ascii="Calibri" w:hAnsi="Calibri" w:cs="Calibri"/>
                <w:color w:val="FF0000"/>
                <w:sz w:val="24"/>
                <w:szCs w:val="24"/>
              </w:rPr>
              <w:t>(6.744)</w:t>
            </w:r>
          </w:p>
        </w:tc>
        <w:tc>
          <w:tcPr>
            <w:tcW w:w="1441" w:type="dxa"/>
            <w:vAlign w:val="center"/>
          </w:tcPr>
          <w:p w14:paraId="5651DE0F" w14:textId="77777777" w:rsidR="00093617" w:rsidRPr="00B058D7" w:rsidRDefault="00093617" w:rsidP="00236A60">
            <w:pPr>
              <w:jc w:val="right"/>
              <w:rPr>
                <w:rFonts w:ascii="Calibri" w:hAnsi="Calibri" w:cs="Calibri"/>
                <w:color w:val="FF0000"/>
                <w:sz w:val="24"/>
                <w:szCs w:val="24"/>
              </w:rPr>
            </w:pPr>
            <w:r w:rsidRPr="00B058D7">
              <w:rPr>
                <w:rFonts w:ascii="Calibri" w:hAnsi="Calibri" w:cs="Calibri"/>
                <w:color w:val="FF0000"/>
                <w:sz w:val="24"/>
                <w:szCs w:val="24"/>
              </w:rPr>
              <w:t>(4.413)</w:t>
            </w:r>
          </w:p>
        </w:tc>
        <w:tc>
          <w:tcPr>
            <w:tcW w:w="1441" w:type="dxa"/>
            <w:vAlign w:val="center"/>
          </w:tcPr>
          <w:p w14:paraId="1DC0C057" w14:textId="77777777" w:rsidR="00093617" w:rsidRPr="00B058D7" w:rsidRDefault="00093617" w:rsidP="00236A60">
            <w:pPr>
              <w:jc w:val="right"/>
              <w:rPr>
                <w:rFonts w:ascii="Calibri" w:hAnsi="Calibri" w:cs="Calibri"/>
                <w:color w:val="FF0000"/>
                <w:sz w:val="24"/>
                <w:szCs w:val="24"/>
              </w:rPr>
            </w:pPr>
            <w:r w:rsidRPr="00B058D7">
              <w:rPr>
                <w:rFonts w:ascii="Calibri" w:hAnsi="Calibri" w:cs="Calibri"/>
                <w:color w:val="FF0000"/>
                <w:sz w:val="24"/>
                <w:szCs w:val="24"/>
              </w:rPr>
              <w:t>(5.082)</w:t>
            </w:r>
          </w:p>
        </w:tc>
        <w:tc>
          <w:tcPr>
            <w:tcW w:w="1442" w:type="dxa"/>
            <w:vAlign w:val="center"/>
          </w:tcPr>
          <w:p w14:paraId="069F89BF" w14:textId="77777777" w:rsidR="00093617" w:rsidRPr="00B058D7" w:rsidRDefault="00093617" w:rsidP="00236A60">
            <w:pPr>
              <w:jc w:val="right"/>
              <w:rPr>
                <w:rFonts w:ascii="Calibri" w:hAnsi="Calibri" w:cs="Calibri"/>
                <w:color w:val="FF0000"/>
                <w:sz w:val="24"/>
                <w:szCs w:val="24"/>
              </w:rPr>
            </w:pPr>
            <w:r w:rsidRPr="00B058D7">
              <w:rPr>
                <w:rFonts w:ascii="Calibri" w:hAnsi="Calibri" w:cs="Calibri"/>
                <w:color w:val="FF0000"/>
                <w:sz w:val="24"/>
                <w:szCs w:val="24"/>
              </w:rPr>
              <w:t>(5.639)</w:t>
            </w:r>
          </w:p>
        </w:tc>
      </w:tr>
      <w:tr w:rsidR="00093617" w:rsidRPr="00B058D7" w14:paraId="11781323" w14:textId="77777777" w:rsidTr="00236A60">
        <w:tc>
          <w:tcPr>
            <w:tcW w:w="3981" w:type="dxa"/>
            <w:vAlign w:val="center"/>
          </w:tcPr>
          <w:p w14:paraId="508D2AE2" w14:textId="317366CC" w:rsidR="00093617" w:rsidRPr="00B058D7" w:rsidRDefault="00093617" w:rsidP="00093617">
            <w:pPr>
              <w:jc w:val="both"/>
              <w:rPr>
                <w:rFonts w:ascii="Calibri" w:hAnsi="Calibri" w:cs="Calibri"/>
                <w:sz w:val="24"/>
                <w:szCs w:val="24"/>
              </w:rPr>
            </w:pPr>
            <w:r w:rsidRPr="00B058D7">
              <w:rPr>
                <w:rFonts w:ascii="Calibri" w:hAnsi="Calibri" w:cs="Calibri"/>
                <w:sz w:val="24"/>
                <w:szCs w:val="24"/>
              </w:rPr>
              <w:t xml:space="preserve">Business Rates: </w:t>
            </w:r>
            <w:r w:rsidR="00172CBB" w:rsidRPr="00B058D7">
              <w:rPr>
                <w:rFonts w:ascii="Calibri" w:hAnsi="Calibri" w:cs="Calibri"/>
                <w:sz w:val="24"/>
                <w:szCs w:val="24"/>
              </w:rPr>
              <w:t>other adjustments</w:t>
            </w:r>
          </w:p>
        </w:tc>
        <w:tc>
          <w:tcPr>
            <w:tcW w:w="1441" w:type="dxa"/>
            <w:vAlign w:val="center"/>
          </w:tcPr>
          <w:p w14:paraId="52B30747" w14:textId="07319211" w:rsidR="00093617" w:rsidRPr="00B058D7" w:rsidRDefault="00B830EA" w:rsidP="00B830EA">
            <w:pPr>
              <w:jc w:val="right"/>
              <w:rPr>
                <w:rFonts w:ascii="Calibri" w:hAnsi="Calibri" w:cs="Calibri"/>
                <w:sz w:val="24"/>
                <w:szCs w:val="24"/>
              </w:rPr>
            </w:pPr>
            <w:r w:rsidRPr="00B058D7">
              <w:rPr>
                <w:rFonts w:ascii="Calibri" w:hAnsi="Calibri" w:cs="Calibri"/>
                <w:sz w:val="24"/>
                <w:szCs w:val="24"/>
              </w:rPr>
              <w:t>0.341</w:t>
            </w:r>
          </w:p>
        </w:tc>
        <w:tc>
          <w:tcPr>
            <w:tcW w:w="1441" w:type="dxa"/>
            <w:vAlign w:val="center"/>
          </w:tcPr>
          <w:p w14:paraId="392B0D34" w14:textId="55CC0379" w:rsidR="00093617" w:rsidRPr="00B058D7" w:rsidRDefault="00093617" w:rsidP="00093617">
            <w:pPr>
              <w:jc w:val="right"/>
              <w:rPr>
                <w:rFonts w:ascii="Calibri" w:hAnsi="Calibri" w:cs="Calibri"/>
                <w:color w:val="FF0000"/>
                <w:sz w:val="24"/>
                <w:szCs w:val="24"/>
                <w:highlight w:val="yellow"/>
              </w:rPr>
            </w:pPr>
            <w:r w:rsidRPr="00B058D7">
              <w:rPr>
                <w:rFonts w:ascii="Calibri" w:hAnsi="Calibri" w:cs="Calibri"/>
                <w:sz w:val="24"/>
                <w:szCs w:val="24"/>
              </w:rPr>
              <w:t>0.000</w:t>
            </w:r>
          </w:p>
        </w:tc>
        <w:tc>
          <w:tcPr>
            <w:tcW w:w="1441" w:type="dxa"/>
            <w:vAlign w:val="center"/>
          </w:tcPr>
          <w:p w14:paraId="43A658A2" w14:textId="21E1D112" w:rsidR="00093617" w:rsidRPr="00B058D7" w:rsidRDefault="00093617" w:rsidP="00093617">
            <w:pPr>
              <w:jc w:val="right"/>
              <w:rPr>
                <w:rFonts w:ascii="Calibri" w:hAnsi="Calibri" w:cs="Calibri"/>
                <w:color w:val="FF0000"/>
                <w:sz w:val="24"/>
                <w:szCs w:val="24"/>
                <w:highlight w:val="yellow"/>
              </w:rPr>
            </w:pPr>
            <w:r w:rsidRPr="00B058D7">
              <w:rPr>
                <w:rFonts w:ascii="Calibri" w:hAnsi="Calibri" w:cs="Calibri"/>
                <w:sz w:val="24"/>
                <w:szCs w:val="24"/>
              </w:rPr>
              <w:t>0.000</w:t>
            </w:r>
          </w:p>
        </w:tc>
        <w:tc>
          <w:tcPr>
            <w:tcW w:w="1442" w:type="dxa"/>
            <w:vAlign w:val="center"/>
          </w:tcPr>
          <w:p w14:paraId="5FA32966" w14:textId="07724D73" w:rsidR="00093617" w:rsidRPr="00B058D7" w:rsidRDefault="00093617" w:rsidP="00093617">
            <w:pPr>
              <w:jc w:val="right"/>
              <w:rPr>
                <w:rFonts w:ascii="Calibri" w:hAnsi="Calibri" w:cs="Calibri"/>
                <w:color w:val="FF0000"/>
                <w:sz w:val="24"/>
                <w:szCs w:val="24"/>
                <w:highlight w:val="yellow"/>
              </w:rPr>
            </w:pPr>
            <w:r w:rsidRPr="00B058D7">
              <w:rPr>
                <w:rFonts w:ascii="Calibri" w:hAnsi="Calibri" w:cs="Calibri"/>
                <w:sz w:val="24"/>
                <w:szCs w:val="24"/>
              </w:rPr>
              <w:t>0.000</w:t>
            </w:r>
          </w:p>
        </w:tc>
      </w:tr>
      <w:tr w:rsidR="00093617" w:rsidRPr="00B058D7" w14:paraId="334AF5E3" w14:textId="77777777" w:rsidTr="00236A60">
        <w:tc>
          <w:tcPr>
            <w:tcW w:w="3981" w:type="dxa"/>
            <w:vAlign w:val="center"/>
          </w:tcPr>
          <w:p w14:paraId="6CF184FD" w14:textId="705A5F47" w:rsidR="00093617" w:rsidRPr="00B058D7" w:rsidRDefault="00093617" w:rsidP="00236A60">
            <w:pPr>
              <w:jc w:val="both"/>
              <w:rPr>
                <w:rFonts w:ascii="Calibri" w:hAnsi="Calibri" w:cs="Calibri"/>
                <w:sz w:val="24"/>
                <w:szCs w:val="24"/>
              </w:rPr>
            </w:pPr>
            <w:r w:rsidRPr="00B058D7">
              <w:rPr>
                <w:rFonts w:ascii="Calibri" w:hAnsi="Calibri" w:cs="Calibri"/>
                <w:sz w:val="24"/>
                <w:szCs w:val="24"/>
              </w:rPr>
              <w:t>Council Tax: receivable annually</w:t>
            </w:r>
          </w:p>
        </w:tc>
        <w:tc>
          <w:tcPr>
            <w:tcW w:w="1441" w:type="dxa"/>
            <w:vAlign w:val="center"/>
          </w:tcPr>
          <w:p w14:paraId="0887DC65" w14:textId="77777777" w:rsidR="00093617" w:rsidRPr="00B058D7" w:rsidRDefault="00093617" w:rsidP="00236A60">
            <w:pPr>
              <w:jc w:val="right"/>
              <w:rPr>
                <w:rFonts w:ascii="Calibri" w:hAnsi="Calibri" w:cs="Calibri"/>
                <w:color w:val="FF0000"/>
                <w:sz w:val="24"/>
                <w:szCs w:val="24"/>
              </w:rPr>
            </w:pPr>
            <w:r w:rsidRPr="00B058D7">
              <w:rPr>
                <w:rFonts w:ascii="Calibri" w:hAnsi="Calibri" w:cs="Calibri"/>
                <w:color w:val="FF0000"/>
                <w:sz w:val="24"/>
                <w:szCs w:val="24"/>
              </w:rPr>
              <w:t>(7.646)</w:t>
            </w:r>
          </w:p>
        </w:tc>
        <w:tc>
          <w:tcPr>
            <w:tcW w:w="1441" w:type="dxa"/>
            <w:vAlign w:val="center"/>
          </w:tcPr>
          <w:p w14:paraId="5F1EB32E" w14:textId="77777777" w:rsidR="00093617" w:rsidRPr="00B058D7" w:rsidRDefault="00093617" w:rsidP="00236A60">
            <w:pPr>
              <w:jc w:val="right"/>
              <w:rPr>
                <w:rFonts w:ascii="Calibri" w:hAnsi="Calibri" w:cs="Calibri"/>
                <w:color w:val="FF0000"/>
                <w:sz w:val="24"/>
                <w:szCs w:val="24"/>
              </w:rPr>
            </w:pPr>
            <w:r w:rsidRPr="00B058D7">
              <w:rPr>
                <w:rFonts w:ascii="Calibri" w:hAnsi="Calibri" w:cs="Calibri"/>
                <w:color w:val="FF0000"/>
                <w:sz w:val="24"/>
                <w:szCs w:val="24"/>
              </w:rPr>
              <w:t>(7.966)</w:t>
            </w:r>
          </w:p>
        </w:tc>
        <w:tc>
          <w:tcPr>
            <w:tcW w:w="1441" w:type="dxa"/>
            <w:vAlign w:val="center"/>
          </w:tcPr>
          <w:p w14:paraId="37CCD729" w14:textId="77777777" w:rsidR="00093617" w:rsidRPr="00B058D7" w:rsidRDefault="00093617" w:rsidP="00236A60">
            <w:pPr>
              <w:jc w:val="right"/>
              <w:rPr>
                <w:rFonts w:ascii="Calibri" w:hAnsi="Calibri" w:cs="Calibri"/>
                <w:color w:val="FF0000"/>
                <w:sz w:val="24"/>
                <w:szCs w:val="24"/>
              </w:rPr>
            </w:pPr>
            <w:r w:rsidRPr="00B058D7">
              <w:rPr>
                <w:rFonts w:ascii="Calibri" w:hAnsi="Calibri" w:cs="Calibri"/>
                <w:color w:val="FF0000"/>
                <w:sz w:val="24"/>
                <w:szCs w:val="24"/>
              </w:rPr>
              <w:t>(8.299)</w:t>
            </w:r>
          </w:p>
        </w:tc>
        <w:tc>
          <w:tcPr>
            <w:tcW w:w="1442" w:type="dxa"/>
            <w:vAlign w:val="center"/>
          </w:tcPr>
          <w:p w14:paraId="48670581" w14:textId="77777777" w:rsidR="00093617" w:rsidRPr="00B058D7" w:rsidRDefault="00093617" w:rsidP="00236A60">
            <w:pPr>
              <w:jc w:val="right"/>
              <w:rPr>
                <w:rFonts w:ascii="Calibri" w:hAnsi="Calibri" w:cs="Calibri"/>
                <w:color w:val="FF0000"/>
                <w:sz w:val="24"/>
                <w:szCs w:val="24"/>
              </w:rPr>
            </w:pPr>
            <w:r w:rsidRPr="00B058D7">
              <w:rPr>
                <w:rFonts w:ascii="Calibri" w:hAnsi="Calibri" w:cs="Calibri"/>
                <w:color w:val="FF0000"/>
                <w:sz w:val="24"/>
                <w:szCs w:val="24"/>
              </w:rPr>
              <w:t>(8.646)</w:t>
            </w:r>
          </w:p>
        </w:tc>
      </w:tr>
      <w:tr w:rsidR="00B830EA" w:rsidRPr="00B058D7" w14:paraId="6ACDECAA" w14:textId="77777777" w:rsidTr="00236A60">
        <w:tc>
          <w:tcPr>
            <w:tcW w:w="3981" w:type="dxa"/>
            <w:vAlign w:val="center"/>
          </w:tcPr>
          <w:p w14:paraId="5DC7DF01" w14:textId="2474FFFA" w:rsidR="00B830EA" w:rsidRPr="00B058D7" w:rsidRDefault="00B830EA" w:rsidP="00B830EA">
            <w:pPr>
              <w:jc w:val="both"/>
              <w:rPr>
                <w:rFonts w:ascii="Calibri" w:hAnsi="Calibri" w:cs="Calibri"/>
                <w:sz w:val="24"/>
                <w:szCs w:val="24"/>
              </w:rPr>
            </w:pPr>
            <w:r w:rsidRPr="00B058D7">
              <w:rPr>
                <w:rFonts w:ascii="Calibri" w:hAnsi="Calibri" w:cs="Calibri"/>
                <w:sz w:val="24"/>
                <w:szCs w:val="24"/>
              </w:rPr>
              <w:t>Council Tax: surpluses/</w:t>
            </w:r>
            <w:r w:rsidRPr="00B058D7">
              <w:rPr>
                <w:rFonts w:ascii="Calibri" w:hAnsi="Calibri" w:cs="Calibri"/>
                <w:color w:val="FF0000"/>
                <w:sz w:val="24"/>
                <w:szCs w:val="24"/>
              </w:rPr>
              <w:t>(deficits)</w:t>
            </w:r>
          </w:p>
        </w:tc>
        <w:tc>
          <w:tcPr>
            <w:tcW w:w="1441" w:type="dxa"/>
            <w:vAlign w:val="center"/>
          </w:tcPr>
          <w:p w14:paraId="57C30586" w14:textId="0B1100FD" w:rsidR="00B830EA" w:rsidRPr="00B058D7" w:rsidRDefault="00B830EA" w:rsidP="00B830EA">
            <w:pPr>
              <w:jc w:val="right"/>
              <w:rPr>
                <w:rFonts w:ascii="Calibri" w:hAnsi="Calibri" w:cs="Calibri"/>
                <w:color w:val="FF0000"/>
                <w:sz w:val="24"/>
                <w:szCs w:val="24"/>
                <w:highlight w:val="yellow"/>
              </w:rPr>
            </w:pPr>
            <w:r w:rsidRPr="00B058D7">
              <w:rPr>
                <w:rFonts w:ascii="Calibri" w:hAnsi="Calibri" w:cs="Calibri"/>
                <w:color w:val="FF0000"/>
                <w:sz w:val="24"/>
                <w:szCs w:val="24"/>
              </w:rPr>
              <w:t>(0.333)</w:t>
            </w:r>
          </w:p>
        </w:tc>
        <w:tc>
          <w:tcPr>
            <w:tcW w:w="1441" w:type="dxa"/>
            <w:vAlign w:val="center"/>
          </w:tcPr>
          <w:p w14:paraId="6FB7CF8D" w14:textId="291DACA3" w:rsidR="00B830EA" w:rsidRPr="00B058D7" w:rsidRDefault="00B830EA" w:rsidP="00B830EA">
            <w:pPr>
              <w:jc w:val="right"/>
              <w:rPr>
                <w:rFonts w:ascii="Calibri" w:hAnsi="Calibri" w:cs="Calibri"/>
                <w:color w:val="FF0000"/>
                <w:sz w:val="24"/>
                <w:szCs w:val="24"/>
                <w:highlight w:val="yellow"/>
              </w:rPr>
            </w:pPr>
            <w:r w:rsidRPr="00B058D7">
              <w:rPr>
                <w:rFonts w:ascii="Calibri" w:hAnsi="Calibri" w:cs="Calibri"/>
                <w:sz w:val="24"/>
                <w:szCs w:val="24"/>
              </w:rPr>
              <w:t>0.000</w:t>
            </w:r>
          </w:p>
        </w:tc>
        <w:tc>
          <w:tcPr>
            <w:tcW w:w="1441" w:type="dxa"/>
            <w:vAlign w:val="center"/>
          </w:tcPr>
          <w:p w14:paraId="79A2474F" w14:textId="7E13177A" w:rsidR="00B830EA" w:rsidRPr="00B058D7" w:rsidRDefault="00B830EA" w:rsidP="00B830EA">
            <w:pPr>
              <w:jc w:val="right"/>
              <w:rPr>
                <w:rFonts w:ascii="Calibri" w:hAnsi="Calibri" w:cs="Calibri"/>
                <w:color w:val="FF0000"/>
                <w:sz w:val="24"/>
                <w:szCs w:val="24"/>
                <w:highlight w:val="yellow"/>
              </w:rPr>
            </w:pPr>
            <w:r w:rsidRPr="00B058D7">
              <w:rPr>
                <w:rFonts w:ascii="Calibri" w:hAnsi="Calibri" w:cs="Calibri"/>
                <w:sz w:val="24"/>
                <w:szCs w:val="24"/>
              </w:rPr>
              <w:t>0.000</w:t>
            </w:r>
          </w:p>
        </w:tc>
        <w:tc>
          <w:tcPr>
            <w:tcW w:w="1442" w:type="dxa"/>
            <w:vAlign w:val="center"/>
          </w:tcPr>
          <w:p w14:paraId="6196A1E6" w14:textId="669100A8" w:rsidR="00B830EA" w:rsidRPr="00B058D7" w:rsidRDefault="00B830EA" w:rsidP="00B830EA">
            <w:pPr>
              <w:jc w:val="right"/>
              <w:rPr>
                <w:rFonts w:ascii="Calibri" w:hAnsi="Calibri" w:cs="Calibri"/>
                <w:color w:val="FF0000"/>
                <w:sz w:val="24"/>
                <w:szCs w:val="24"/>
                <w:highlight w:val="yellow"/>
              </w:rPr>
            </w:pPr>
            <w:r w:rsidRPr="00B058D7">
              <w:rPr>
                <w:rFonts w:ascii="Calibri" w:hAnsi="Calibri" w:cs="Calibri"/>
                <w:sz w:val="24"/>
                <w:szCs w:val="24"/>
              </w:rPr>
              <w:t>0.000</w:t>
            </w:r>
          </w:p>
        </w:tc>
      </w:tr>
      <w:tr w:rsidR="00B830EA" w:rsidRPr="00B058D7" w14:paraId="62E7A3DD" w14:textId="77777777" w:rsidTr="0099015B">
        <w:tc>
          <w:tcPr>
            <w:tcW w:w="3981" w:type="dxa"/>
            <w:vAlign w:val="center"/>
          </w:tcPr>
          <w:p w14:paraId="7F37CBAC" w14:textId="467E858E" w:rsidR="00B830EA" w:rsidRPr="00B058D7" w:rsidRDefault="00B830EA" w:rsidP="00B830EA">
            <w:pPr>
              <w:jc w:val="both"/>
              <w:rPr>
                <w:rFonts w:ascii="Calibri" w:hAnsi="Calibri" w:cs="Calibri"/>
                <w:sz w:val="24"/>
                <w:szCs w:val="24"/>
              </w:rPr>
            </w:pPr>
            <w:r w:rsidRPr="00B058D7">
              <w:rPr>
                <w:rFonts w:ascii="Calibri" w:hAnsi="Calibri" w:cs="Calibri"/>
                <w:sz w:val="24"/>
                <w:szCs w:val="24"/>
              </w:rPr>
              <w:t>Council Tax: other adjustments</w:t>
            </w:r>
          </w:p>
        </w:tc>
        <w:tc>
          <w:tcPr>
            <w:tcW w:w="1441" w:type="dxa"/>
            <w:vAlign w:val="center"/>
          </w:tcPr>
          <w:p w14:paraId="1A8D71AF" w14:textId="3C5C79B1" w:rsidR="00B830EA" w:rsidRPr="00B058D7" w:rsidRDefault="00B830EA" w:rsidP="00B830EA">
            <w:pPr>
              <w:jc w:val="right"/>
              <w:rPr>
                <w:rFonts w:ascii="Calibri" w:hAnsi="Calibri" w:cs="Calibri"/>
                <w:color w:val="FF0000"/>
                <w:sz w:val="24"/>
                <w:szCs w:val="24"/>
                <w:highlight w:val="yellow"/>
              </w:rPr>
            </w:pPr>
            <w:r w:rsidRPr="00B058D7">
              <w:rPr>
                <w:rFonts w:ascii="Calibri" w:hAnsi="Calibri" w:cs="Calibri"/>
                <w:sz w:val="24"/>
                <w:szCs w:val="24"/>
              </w:rPr>
              <w:t>0.047</w:t>
            </w:r>
          </w:p>
        </w:tc>
        <w:tc>
          <w:tcPr>
            <w:tcW w:w="1441" w:type="dxa"/>
            <w:vAlign w:val="center"/>
          </w:tcPr>
          <w:p w14:paraId="3F4F0524" w14:textId="035AAE0C" w:rsidR="00B830EA" w:rsidRPr="00B058D7" w:rsidRDefault="00B830EA" w:rsidP="00B830EA">
            <w:pPr>
              <w:jc w:val="right"/>
              <w:rPr>
                <w:rFonts w:ascii="Calibri" w:hAnsi="Calibri" w:cs="Calibri"/>
                <w:color w:val="FF0000"/>
                <w:sz w:val="24"/>
                <w:szCs w:val="24"/>
                <w:highlight w:val="yellow"/>
              </w:rPr>
            </w:pPr>
            <w:r w:rsidRPr="00B058D7">
              <w:rPr>
                <w:rFonts w:ascii="Calibri" w:hAnsi="Calibri" w:cs="Calibri"/>
                <w:sz w:val="24"/>
                <w:szCs w:val="24"/>
              </w:rPr>
              <w:t>0.000</w:t>
            </w:r>
          </w:p>
        </w:tc>
        <w:tc>
          <w:tcPr>
            <w:tcW w:w="1441" w:type="dxa"/>
            <w:vAlign w:val="center"/>
          </w:tcPr>
          <w:p w14:paraId="55850341" w14:textId="59904D21" w:rsidR="00B830EA" w:rsidRPr="00B058D7" w:rsidRDefault="00B830EA" w:rsidP="00B830EA">
            <w:pPr>
              <w:jc w:val="right"/>
              <w:rPr>
                <w:rFonts w:ascii="Calibri" w:hAnsi="Calibri" w:cs="Calibri"/>
                <w:color w:val="FF0000"/>
                <w:sz w:val="24"/>
                <w:szCs w:val="24"/>
                <w:highlight w:val="yellow"/>
              </w:rPr>
            </w:pPr>
            <w:r w:rsidRPr="00B058D7">
              <w:rPr>
                <w:rFonts w:ascii="Calibri" w:hAnsi="Calibri" w:cs="Calibri"/>
                <w:sz w:val="24"/>
                <w:szCs w:val="24"/>
              </w:rPr>
              <w:t>0.000</w:t>
            </w:r>
          </w:p>
        </w:tc>
        <w:tc>
          <w:tcPr>
            <w:tcW w:w="1442" w:type="dxa"/>
            <w:vAlign w:val="center"/>
          </w:tcPr>
          <w:p w14:paraId="6ADAB1E6" w14:textId="322B85A4" w:rsidR="00B830EA" w:rsidRPr="00B058D7" w:rsidRDefault="00B830EA" w:rsidP="00B830EA">
            <w:pPr>
              <w:jc w:val="right"/>
              <w:rPr>
                <w:rFonts w:ascii="Calibri" w:hAnsi="Calibri" w:cs="Calibri"/>
                <w:color w:val="FF0000"/>
                <w:sz w:val="24"/>
                <w:szCs w:val="24"/>
                <w:highlight w:val="yellow"/>
              </w:rPr>
            </w:pPr>
            <w:r w:rsidRPr="00B058D7">
              <w:rPr>
                <w:rFonts w:ascii="Calibri" w:hAnsi="Calibri" w:cs="Calibri"/>
                <w:sz w:val="24"/>
                <w:szCs w:val="24"/>
              </w:rPr>
              <w:t>0.000</w:t>
            </w:r>
          </w:p>
        </w:tc>
      </w:tr>
      <w:tr w:rsidR="00621342" w:rsidRPr="00B058D7" w14:paraId="0E764E65" w14:textId="77777777" w:rsidTr="0099015B">
        <w:tc>
          <w:tcPr>
            <w:tcW w:w="3981" w:type="dxa"/>
            <w:vAlign w:val="center"/>
          </w:tcPr>
          <w:p w14:paraId="08B90D4F" w14:textId="77777777" w:rsidR="00621342" w:rsidRPr="00B058D7" w:rsidRDefault="00621342" w:rsidP="00621342">
            <w:pPr>
              <w:jc w:val="both"/>
              <w:rPr>
                <w:rFonts w:ascii="Calibri" w:hAnsi="Calibri" w:cs="Calibri"/>
                <w:sz w:val="24"/>
                <w:szCs w:val="24"/>
              </w:rPr>
            </w:pPr>
            <w:r w:rsidRPr="00B058D7">
              <w:rPr>
                <w:rFonts w:ascii="Calibri" w:hAnsi="Calibri" w:cs="Calibri"/>
                <w:sz w:val="24"/>
                <w:szCs w:val="24"/>
              </w:rPr>
              <w:t>Other Grants</w:t>
            </w:r>
          </w:p>
        </w:tc>
        <w:tc>
          <w:tcPr>
            <w:tcW w:w="1441" w:type="dxa"/>
            <w:vAlign w:val="center"/>
          </w:tcPr>
          <w:p w14:paraId="3E4051C9" w14:textId="0085C017" w:rsidR="00621342" w:rsidRPr="00B058D7" w:rsidRDefault="006C4BE0" w:rsidP="00621342">
            <w:pPr>
              <w:jc w:val="right"/>
              <w:rPr>
                <w:rFonts w:ascii="Calibri" w:hAnsi="Calibri" w:cs="Calibri"/>
                <w:color w:val="FF0000"/>
                <w:sz w:val="24"/>
                <w:szCs w:val="24"/>
                <w:highlight w:val="yellow"/>
              </w:rPr>
            </w:pPr>
            <w:r w:rsidRPr="00B058D7">
              <w:rPr>
                <w:rFonts w:ascii="Calibri" w:hAnsi="Calibri" w:cs="Calibri"/>
                <w:color w:val="FF0000"/>
                <w:sz w:val="24"/>
                <w:szCs w:val="24"/>
              </w:rPr>
              <w:t>(0.568</w:t>
            </w:r>
            <w:r w:rsidR="00621342" w:rsidRPr="00B058D7">
              <w:rPr>
                <w:rFonts w:ascii="Calibri" w:hAnsi="Calibri" w:cs="Calibri"/>
                <w:color w:val="FF0000"/>
                <w:sz w:val="24"/>
                <w:szCs w:val="24"/>
              </w:rPr>
              <w:t>)</w:t>
            </w:r>
          </w:p>
        </w:tc>
        <w:tc>
          <w:tcPr>
            <w:tcW w:w="1441" w:type="dxa"/>
            <w:vAlign w:val="center"/>
          </w:tcPr>
          <w:p w14:paraId="448E6DCD" w14:textId="269BA2DB" w:rsidR="00621342" w:rsidRPr="00B058D7" w:rsidRDefault="00621342" w:rsidP="00621342">
            <w:pPr>
              <w:jc w:val="right"/>
              <w:rPr>
                <w:rFonts w:ascii="Calibri" w:hAnsi="Calibri" w:cs="Calibri"/>
                <w:sz w:val="24"/>
                <w:szCs w:val="24"/>
                <w:highlight w:val="yellow"/>
              </w:rPr>
            </w:pPr>
            <w:r w:rsidRPr="00B058D7">
              <w:rPr>
                <w:rFonts w:ascii="Calibri" w:hAnsi="Calibri" w:cs="Calibri"/>
                <w:color w:val="FF0000"/>
                <w:sz w:val="24"/>
                <w:szCs w:val="24"/>
              </w:rPr>
              <w:t>(0.568)</w:t>
            </w:r>
          </w:p>
        </w:tc>
        <w:tc>
          <w:tcPr>
            <w:tcW w:w="1441" w:type="dxa"/>
            <w:vAlign w:val="center"/>
          </w:tcPr>
          <w:p w14:paraId="27172CE3" w14:textId="550FC0AD" w:rsidR="00621342" w:rsidRPr="00B058D7" w:rsidRDefault="00621342" w:rsidP="00621342">
            <w:pPr>
              <w:jc w:val="right"/>
              <w:rPr>
                <w:rFonts w:ascii="Calibri" w:hAnsi="Calibri" w:cs="Calibri"/>
                <w:sz w:val="24"/>
                <w:szCs w:val="24"/>
                <w:highlight w:val="yellow"/>
              </w:rPr>
            </w:pPr>
            <w:r w:rsidRPr="00B058D7">
              <w:rPr>
                <w:rFonts w:ascii="Calibri" w:hAnsi="Calibri" w:cs="Calibri"/>
                <w:color w:val="FF0000"/>
                <w:sz w:val="24"/>
                <w:szCs w:val="24"/>
              </w:rPr>
              <w:t>(0.464)</w:t>
            </w:r>
          </w:p>
        </w:tc>
        <w:tc>
          <w:tcPr>
            <w:tcW w:w="1442" w:type="dxa"/>
            <w:vAlign w:val="center"/>
          </w:tcPr>
          <w:p w14:paraId="3F21CB05" w14:textId="65FDC5BE" w:rsidR="00621342" w:rsidRPr="00B058D7" w:rsidRDefault="00621342" w:rsidP="00621342">
            <w:pPr>
              <w:jc w:val="right"/>
              <w:rPr>
                <w:rFonts w:ascii="Calibri" w:hAnsi="Calibri" w:cs="Calibri"/>
                <w:sz w:val="24"/>
                <w:szCs w:val="24"/>
                <w:highlight w:val="yellow"/>
              </w:rPr>
            </w:pPr>
            <w:r w:rsidRPr="00B058D7">
              <w:rPr>
                <w:rFonts w:ascii="Calibri" w:hAnsi="Calibri" w:cs="Calibri"/>
                <w:color w:val="FF0000"/>
                <w:sz w:val="24"/>
                <w:szCs w:val="24"/>
              </w:rPr>
              <w:t>(0.475)</w:t>
            </w:r>
          </w:p>
        </w:tc>
      </w:tr>
      <w:tr w:rsidR="00B830EA" w:rsidRPr="00B058D7" w14:paraId="3CDDC562" w14:textId="77777777" w:rsidTr="0099015B">
        <w:tc>
          <w:tcPr>
            <w:tcW w:w="3981" w:type="dxa"/>
            <w:vAlign w:val="center"/>
          </w:tcPr>
          <w:p w14:paraId="6BAA286B" w14:textId="77777777" w:rsidR="00B830EA" w:rsidRPr="00B058D7" w:rsidRDefault="00B830EA" w:rsidP="00B830EA">
            <w:pPr>
              <w:tabs>
                <w:tab w:val="left" w:pos="270"/>
              </w:tabs>
              <w:jc w:val="both"/>
              <w:rPr>
                <w:rFonts w:ascii="Calibri" w:hAnsi="Calibri" w:cs="Calibri"/>
                <w:b/>
                <w:sz w:val="24"/>
                <w:szCs w:val="24"/>
              </w:rPr>
            </w:pPr>
            <w:r w:rsidRPr="00B058D7">
              <w:rPr>
                <w:rFonts w:ascii="Calibri" w:hAnsi="Calibri" w:cs="Calibri"/>
                <w:b/>
                <w:sz w:val="24"/>
                <w:szCs w:val="24"/>
              </w:rPr>
              <w:t xml:space="preserve">Contribution </w:t>
            </w:r>
            <w:r w:rsidRPr="00B058D7">
              <w:rPr>
                <w:rFonts w:ascii="Calibri" w:hAnsi="Calibri" w:cs="Calibri"/>
                <w:b/>
                <w:color w:val="FF0000"/>
                <w:sz w:val="24"/>
                <w:szCs w:val="24"/>
              </w:rPr>
              <w:t>(to)</w:t>
            </w:r>
            <w:r w:rsidRPr="00B058D7">
              <w:rPr>
                <w:rFonts w:ascii="Calibri" w:hAnsi="Calibri" w:cs="Calibri"/>
                <w:b/>
                <w:sz w:val="24"/>
                <w:szCs w:val="24"/>
              </w:rPr>
              <w:t xml:space="preserve"> or from Reserves</w:t>
            </w:r>
          </w:p>
        </w:tc>
        <w:tc>
          <w:tcPr>
            <w:tcW w:w="1441" w:type="dxa"/>
            <w:vAlign w:val="center"/>
          </w:tcPr>
          <w:p w14:paraId="79DD85C2" w14:textId="5BE721A5" w:rsidR="00B830EA" w:rsidRPr="00B058D7" w:rsidRDefault="0007337A" w:rsidP="00B830EA">
            <w:pPr>
              <w:jc w:val="right"/>
              <w:rPr>
                <w:rFonts w:ascii="Calibri" w:hAnsi="Calibri" w:cs="Calibri"/>
                <w:b/>
                <w:sz w:val="24"/>
                <w:szCs w:val="24"/>
                <w:highlight w:val="yellow"/>
              </w:rPr>
            </w:pPr>
            <w:r w:rsidRPr="00B058D7">
              <w:rPr>
                <w:rFonts w:ascii="Calibri" w:hAnsi="Calibri" w:cs="Calibri"/>
                <w:b/>
                <w:sz w:val="24"/>
                <w:szCs w:val="24"/>
              </w:rPr>
              <w:t>0.657</w:t>
            </w:r>
          </w:p>
        </w:tc>
        <w:tc>
          <w:tcPr>
            <w:tcW w:w="1441" w:type="dxa"/>
            <w:vAlign w:val="center"/>
          </w:tcPr>
          <w:p w14:paraId="42614B1A" w14:textId="14EAA77A" w:rsidR="00B830EA" w:rsidRPr="00B058D7" w:rsidRDefault="0007337A" w:rsidP="00611444">
            <w:pPr>
              <w:jc w:val="right"/>
              <w:rPr>
                <w:rFonts w:ascii="Calibri" w:hAnsi="Calibri" w:cs="Calibri"/>
                <w:sz w:val="24"/>
                <w:szCs w:val="24"/>
                <w:highlight w:val="yellow"/>
              </w:rPr>
            </w:pPr>
            <w:r w:rsidRPr="00B058D7">
              <w:rPr>
                <w:rFonts w:ascii="Calibri" w:hAnsi="Calibri" w:cs="Calibri"/>
                <w:b/>
                <w:sz w:val="24"/>
                <w:szCs w:val="24"/>
              </w:rPr>
              <w:t>3.447</w:t>
            </w:r>
          </w:p>
        </w:tc>
        <w:tc>
          <w:tcPr>
            <w:tcW w:w="1441" w:type="dxa"/>
            <w:vAlign w:val="center"/>
          </w:tcPr>
          <w:p w14:paraId="298B0661" w14:textId="4CF36A86" w:rsidR="00B830EA" w:rsidRPr="00B058D7" w:rsidRDefault="0007337A" w:rsidP="00611444">
            <w:pPr>
              <w:jc w:val="right"/>
              <w:rPr>
                <w:rFonts w:ascii="Calibri" w:hAnsi="Calibri" w:cs="Calibri"/>
                <w:sz w:val="24"/>
                <w:szCs w:val="24"/>
                <w:highlight w:val="yellow"/>
              </w:rPr>
            </w:pPr>
            <w:r w:rsidRPr="00B058D7">
              <w:rPr>
                <w:rFonts w:ascii="Calibri" w:hAnsi="Calibri" w:cs="Calibri"/>
                <w:b/>
                <w:sz w:val="24"/>
                <w:szCs w:val="24"/>
              </w:rPr>
              <w:t>2.929</w:t>
            </w:r>
          </w:p>
        </w:tc>
        <w:tc>
          <w:tcPr>
            <w:tcW w:w="1442" w:type="dxa"/>
            <w:vAlign w:val="center"/>
          </w:tcPr>
          <w:p w14:paraId="55807A39" w14:textId="1417BADC" w:rsidR="00B830EA" w:rsidRPr="00B058D7" w:rsidRDefault="0007337A" w:rsidP="00611444">
            <w:pPr>
              <w:jc w:val="right"/>
              <w:rPr>
                <w:rFonts w:ascii="Calibri" w:hAnsi="Calibri" w:cs="Calibri"/>
                <w:sz w:val="24"/>
                <w:szCs w:val="24"/>
                <w:highlight w:val="yellow"/>
              </w:rPr>
            </w:pPr>
            <w:r w:rsidRPr="00B058D7">
              <w:rPr>
                <w:rFonts w:ascii="Calibri" w:hAnsi="Calibri" w:cs="Calibri"/>
                <w:b/>
                <w:sz w:val="24"/>
                <w:szCs w:val="24"/>
              </w:rPr>
              <w:t>2.481</w:t>
            </w:r>
          </w:p>
        </w:tc>
      </w:tr>
    </w:tbl>
    <w:p w14:paraId="52510434" w14:textId="6574824F" w:rsidR="00A01904" w:rsidRPr="00B058D7" w:rsidRDefault="00A01904" w:rsidP="00A01904">
      <w:pPr>
        <w:spacing w:after="0" w:line="240" w:lineRule="auto"/>
        <w:jc w:val="both"/>
        <w:rPr>
          <w:rFonts w:ascii="Calibri" w:hAnsi="Calibri" w:cs="Calibri"/>
          <w:sz w:val="16"/>
          <w:szCs w:val="16"/>
        </w:rPr>
      </w:pPr>
    </w:p>
    <w:p w14:paraId="7F0EB3F6" w14:textId="77777777" w:rsidR="00240C02" w:rsidRPr="00B058D7" w:rsidRDefault="00240C02" w:rsidP="00240C02">
      <w:pPr>
        <w:pStyle w:val="ListParagraph"/>
        <w:numPr>
          <w:ilvl w:val="0"/>
          <w:numId w:val="25"/>
        </w:numPr>
        <w:spacing w:after="0" w:line="240" w:lineRule="auto"/>
        <w:jc w:val="both"/>
        <w:rPr>
          <w:rFonts w:ascii="Calibri" w:hAnsi="Calibri" w:cs="Calibri"/>
          <w:b/>
          <w:sz w:val="24"/>
          <w:szCs w:val="24"/>
          <w:u w:val="single"/>
        </w:rPr>
      </w:pPr>
      <w:bookmarkStart w:id="1" w:name="_Ref95223977"/>
      <w:bookmarkStart w:id="2" w:name="_Ref32153652"/>
      <w:r w:rsidRPr="00B058D7">
        <w:rPr>
          <w:rFonts w:ascii="Calibri" w:hAnsi="Calibri" w:cs="Calibri"/>
          <w:b/>
          <w:sz w:val="24"/>
          <w:szCs w:val="24"/>
          <w:u w:val="single"/>
        </w:rPr>
        <w:t>Financial Landscape</w:t>
      </w:r>
      <w:bookmarkEnd w:id="1"/>
    </w:p>
    <w:p w14:paraId="721ADAE7" w14:textId="14E918E9" w:rsidR="00240C02" w:rsidRPr="00B058D7" w:rsidRDefault="00240C02" w:rsidP="00240C02">
      <w:pPr>
        <w:tabs>
          <w:tab w:val="left" w:pos="1791"/>
        </w:tabs>
        <w:spacing w:after="0" w:line="240" w:lineRule="auto"/>
        <w:jc w:val="both"/>
        <w:rPr>
          <w:rFonts w:ascii="Calibri" w:hAnsi="Calibri" w:cs="Calibri"/>
          <w:sz w:val="16"/>
          <w:szCs w:val="16"/>
        </w:rPr>
      </w:pPr>
    </w:p>
    <w:p w14:paraId="0B4CB78C" w14:textId="77777777" w:rsidR="00240C02" w:rsidRPr="00B058D7" w:rsidRDefault="00240C02" w:rsidP="00240C02">
      <w:pPr>
        <w:spacing w:after="0" w:line="240" w:lineRule="auto"/>
        <w:jc w:val="both"/>
        <w:rPr>
          <w:rFonts w:ascii="Calibri" w:hAnsi="Calibri" w:cs="Calibri"/>
          <w:sz w:val="24"/>
          <w:szCs w:val="24"/>
          <w:highlight w:val="yellow"/>
        </w:rPr>
      </w:pPr>
      <w:r w:rsidRPr="00B058D7">
        <w:rPr>
          <w:rFonts w:ascii="Calibri" w:hAnsi="Calibri" w:cs="Calibri"/>
          <w:sz w:val="24"/>
          <w:szCs w:val="24"/>
        </w:rPr>
        <w:t>The government has had plans to reform the local government finance system for a number of years. The government initially intended for these reforms to take effect from 2020/21. It has now delayed these reforms further to 2023/24 at the earliest. Given the additional year’s delay, the government plans to roll forward the 2021/22 settlement to 2022/23.</w:t>
      </w:r>
    </w:p>
    <w:p w14:paraId="192A316E" w14:textId="77777777" w:rsidR="00240C02" w:rsidRPr="00B058D7" w:rsidRDefault="00240C02" w:rsidP="00240C02">
      <w:pPr>
        <w:spacing w:after="0" w:line="240" w:lineRule="auto"/>
        <w:jc w:val="both"/>
        <w:rPr>
          <w:rFonts w:ascii="Calibri" w:hAnsi="Calibri" w:cs="Calibri"/>
          <w:sz w:val="24"/>
          <w:szCs w:val="24"/>
        </w:rPr>
      </w:pPr>
    </w:p>
    <w:p w14:paraId="02B70BF3"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lastRenderedPageBreak/>
        <w:t>The reforms of the system are principally to increase the proportion of non-domestic rates (NDR) (‘business rates’) retained locally; and to make fairer the government’s annual funding allocations for local authorities.</w:t>
      </w:r>
    </w:p>
    <w:p w14:paraId="43522B97" w14:textId="77777777" w:rsidR="00240C02" w:rsidRPr="00B058D7" w:rsidRDefault="00240C02" w:rsidP="00240C02">
      <w:pPr>
        <w:spacing w:after="0" w:line="240" w:lineRule="auto"/>
        <w:jc w:val="both"/>
        <w:rPr>
          <w:rFonts w:ascii="Calibri" w:hAnsi="Calibri" w:cs="Calibri"/>
          <w:sz w:val="24"/>
          <w:szCs w:val="24"/>
          <w:highlight w:val="yellow"/>
        </w:rPr>
      </w:pPr>
    </w:p>
    <w:p w14:paraId="425F102E"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impact of the government’s decision to delay the reform to the system has been positive on the funding position of Newark and Sherwood District Council. The delay in re-setting the NDR baseline has meant that expected NDR income in each year between 2020/21 and 2022/23 has been at least £2m more than was expected in the 2019/23 MTFP approved on 7 March 2019. This includes surpluses not forecasted for within the 2019/23 MTFP.</w:t>
      </w:r>
    </w:p>
    <w:p w14:paraId="53FC9AC3" w14:textId="77777777" w:rsidR="00240C02" w:rsidRPr="00B058D7" w:rsidRDefault="00240C02" w:rsidP="00240C02">
      <w:pPr>
        <w:spacing w:after="0" w:line="240" w:lineRule="auto"/>
        <w:jc w:val="both"/>
        <w:rPr>
          <w:rFonts w:ascii="Calibri" w:hAnsi="Calibri" w:cs="Calibri"/>
          <w:sz w:val="24"/>
          <w:szCs w:val="24"/>
          <w:highlight w:val="yellow"/>
        </w:rPr>
      </w:pPr>
    </w:p>
    <w:p w14:paraId="1CCA13D1"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government has not yet indicated when it plans to carry out a multi-year Spending Review to enable the reformed systems for business rates retention and annual funding allocations to be implemented. The Chancellor may set this out in his budget on 23 March 2022.</w:t>
      </w:r>
    </w:p>
    <w:p w14:paraId="0F66FEC3" w14:textId="77777777" w:rsidR="00240C02" w:rsidRPr="00B058D7" w:rsidRDefault="00240C02" w:rsidP="00240C02">
      <w:pPr>
        <w:spacing w:after="0" w:line="240" w:lineRule="auto"/>
        <w:jc w:val="both"/>
        <w:rPr>
          <w:rFonts w:ascii="Calibri" w:hAnsi="Calibri" w:cs="Calibri"/>
          <w:sz w:val="24"/>
          <w:szCs w:val="24"/>
          <w:highlight w:val="yellow"/>
        </w:rPr>
      </w:pPr>
    </w:p>
    <w:p w14:paraId="7D483D67" w14:textId="77777777" w:rsidR="00240C02" w:rsidRPr="00B058D7" w:rsidRDefault="00240C02" w:rsidP="00240C02">
      <w:pPr>
        <w:tabs>
          <w:tab w:val="left" w:pos="1791"/>
        </w:tabs>
        <w:spacing w:after="0" w:line="240" w:lineRule="auto"/>
        <w:jc w:val="both"/>
        <w:rPr>
          <w:rFonts w:ascii="Calibri" w:hAnsi="Calibri" w:cs="Calibri"/>
          <w:sz w:val="24"/>
          <w:szCs w:val="24"/>
        </w:rPr>
      </w:pPr>
      <w:r w:rsidRPr="00B058D7">
        <w:rPr>
          <w:rFonts w:ascii="Calibri" w:hAnsi="Calibri" w:cs="Calibri"/>
          <w:sz w:val="24"/>
          <w:szCs w:val="24"/>
        </w:rPr>
        <w:t xml:space="preserve">As it is not known how exactly the local government finance system will change or from when these changes will take effect from, the council’s current modelling of funding projections for 2023/24 and future years are subject to high levels of volatility. It is however anticipated that the changes to the local government funding formula will be implemented in 2023/24. A consultation paper on potential reform has been promised for the </w:t>
      </w:r>
      <w:proofErr w:type="gramStart"/>
      <w:r w:rsidRPr="00B058D7">
        <w:rPr>
          <w:rFonts w:ascii="Calibri" w:hAnsi="Calibri" w:cs="Calibri"/>
          <w:sz w:val="24"/>
          <w:szCs w:val="24"/>
        </w:rPr>
        <w:t>Spring</w:t>
      </w:r>
      <w:proofErr w:type="gramEnd"/>
      <w:r w:rsidRPr="00B058D7">
        <w:rPr>
          <w:rFonts w:ascii="Calibri" w:hAnsi="Calibri" w:cs="Calibri"/>
          <w:sz w:val="24"/>
          <w:szCs w:val="24"/>
        </w:rPr>
        <w:t xml:space="preserve"> and it is expected that there will be further consultation over the Summer.</w:t>
      </w:r>
    </w:p>
    <w:p w14:paraId="57688BF5" w14:textId="77777777" w:rsidR="00240C02" w:rsidRPr="00B058D7" w:rsidRDefault="00240C02" w:rsidP="00240C02">
      <w:pPr>
        <w:tabs>
          <w:tab w:val="left" w:pos="1791"/>
        </w:tabs>
        <w:spacing w:after="0" w:line="240" w:lineRule="auto"/>
        <w:jc w:val="both"/>
        <w:rPr>
          <w:rFonts w:ascii="Calibri" w:hAnsi="Calibri" w:cs="Calibri"/>
          <w:sz w:val="24"/>
          <w:szCs w:val="24"/>
        </w:rPr>
      </w:pPr>
    </w:p>
    <w:p w14:paraId="60CE1370" w14:textId="77777777" w:rsidR="00240C02" w:rsidRPr="00B058D7" w:rsidRDefault="00240C02" w:rsidP="00240C02">
      <w:pPr>
        <w:tabs>
          <w:tab w:val="left" w:pos="1791"/>
        </w:tabs>
        <w:spacing w:after="0" w:line="240" w:lineRule="auto"/>
        <w:jc w:val="both"/>
        <w:rPr>
          <w:rFonts w:ascii="Calibri" w:hAnsi="Calibri" w:cs="Calibri"/>
          <w:sz w:val="24"/>
          <w:szCs w:val="24"/>
        </w:rPr>
      </w:pPr>
      <w:r w:rsidRPr="00B058D7">
        <w:rPr>
          <w:rFonts w:ascii="Calibri" w:hAnsi="Calibri" w:cs="Calibri"/>
          <w:sz w:val="24"/>
          <w:szCs w:val="24"/>
        </w:rPr>
        <w:t>The scope of reforms is still uncertain which would include the Fair Funding Review, a reset in the baseline for Business Rates Funding and changes to New Homes Bonus, albeit time is already limited and therefore this may mean only a cut-down version of the reforms are implemented.</w:t>
      </w:r>
    </w:p>
    <w:p w14:paraId="5CCC9CEE" w14:textId="77777777" w:rsidR="00240C02" w:rsidRPr="00B058D7" w:rsidRDefault="00240C02" w:rsidP="00240C02">
      <w:pPr>
        <w:tabs>
          <w:tab w:val="left" w:pos="1791"/>
        </w:tabs>
        <w:spacing w:after="0" w:line="240" w:lineRule="auto"/>
        <w:jc w:val="both"/>
        <w:rPr>
          <w:rFonts w:ascii="Calibri" w:hAnsi="Calibri" w:cs="Calibri"/>
          <w:sz w:val="24"/>
          <w:szCs w:val="24"/>
          <w:highlight w:val="yellow"/>
        </w:rPr>
      </w:pPr>
    </w:p>
    <w:p w14:paraId="30AD5038" w14:textId="77777777" w:rsidR="00240C02" w:rsidRPr="00B058D7" w:rsidRDefault="00240C02" w:rsidP="00240C02">
      <w:pPr>
        <w:tabs>
          <w:tab w:val="left" w:pos="1791"/>
        </w:tabs>
        <w:spacing w:after="0" w:line="240" w:lineRule="auto"/>
        <w:jc w:val="both"/>
        <w:rPr>
          <w:rFonts w:ascii="Calibri" w:hAnsi="Calibri" w:cs="Calibri"/>
          <w:sz w:val="24"/>
          <w:szCs w:val="24"/>
        </w:rPr>
      </w:pPr>
      <w:r w:rsidRPr="00B058D7">
        <w:rPr>
          <w:rFonts w:ascii="Calibri" w:hAnsi="Calibri" w:cs="Calibri"/>
          <w:sz w:val="24"/>
          <w:szCs w:val="24"/>
        </w:rPr>
        <w:t>It is expected, however, that the government’s changes to the local government finance system will incorporate transitional arrangements where appropriate, and that changes will be made manageable for individual authorities or classes of authorities.</w:t>
      </w:r>
    </w:p>
    <w:p w14:paraId="03EB548E" w14:textId="77777777" w:rsidR="00240C02" w:rsidRPr="00B058D7" w:rsidRDefault="00240C02" w:rsidP="00240C02">
      <w:pPr>
        <w:tabs>
          <w:tab w:val="left" w:pos="1791"/>
        </w:tabs>
        <w:spacing w:after="0" w:line="240" w:lineRule="auto"/>
        <w:jc w:val="both"/>
        <w:rPr>
          <w:rFonts w:ascii="Calibri" w:hAnsi="Calibri" w:cs="Calibri"/>
          <w:sz w:val="24"/>
          <w:szCs w:val="24"/>
          <w:highlight w:val="yellow"/>
        </w:rPr>
      </w:pPr>
    </w:p>
    <w:p w14:paraId="761787C0"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Throughout the remainder of 2021/22 and in 2022/23, officers will closely monitor the government’s announcements relating to the local government finance system and assess the implications of these on the council’s funding for 2022/23 and future years.</w:t>
      </w:r>
    </w:p>
    <w:p w14:paraId="7FBFCB7B" w14:textId="77777777" w:rsidR="00240C02" w:rsidRPr="00B058D7" w:rsidRDefault="00240C02" w:rsidP="00240C02">
      <w:pPr>
        <w:spacing w:after="0" w:line="240" w:lineRule="auto"/>
        <w:jc w:val="both"/>
        <w:rPr>
          <w:rFonts w:ascii="Calibri" w:hAnsi="Calibri" w:cs="Calibri"/>
          <w:sz w:val="24"/>
          <w:szCs w:val="24"/>
        </w:rPr>
      </w:pPr>
    </w:p>
    <w:p w14:paraId="7BEE1BE6" w14:textId="77777777" w:rsidR="00240C02" w:rsidRPr="00B058D7" w:rsidRDefault="00240C02" w:rsidP="00240C02">
      <w:pPr>
        <w:pStyle w:val="ListParagraph"/>
        <w:numPr>
          <w:ilvl w:val="0"/>
          <w:numId w:val="25"/>
        </w:numPr>
        <w:spacing w:after="0" w:line="240" w:lineRule="auto"/>
        <w:jc w:val="both"/>
        <w:rPr>
          <w:rFonts w:ascii="Calibri" w:hAnsi="Calibri" w:cs="Calibri"/>
          <w:b/>
          <w:sz w:val="24"/>
          <w:szCs w:val="24"/>
          <w:u w:val="single"/>
        </w:rPr>
      </w:pPr>
      <w:r w:rsidRPr="00B058D7">
        <w:rPr>
          <w:rFonts w:ascii="Calibri" w:hAnsi="Calibri" w:cs="Calibri"/>
          <w:b/>
          <w:sz w:val="24"/>
          <w:szCs w:val="24"/>
          <w:u w:val="single"/>
        </w:rPr>
        <w:t>Fair Funding Review</w:t>
      </w:r>
    </w:p>
    <w:p w14:paraId="78B14E3F" w14:textId="77777777" w:rsidR="00240C02" w:rsidRPr="00B058D7" w:rsidRDefault="00240C02" w:rsidP="00240C02">
      <w:pPr>
        <w:spacing w:after="0" w:line="240" w:lineRule="auto"/>
        <w:jc w:val="both"/>
        <w:rPr>
          <w:rFonts w:ascii="Calibri" w:hAnsi="Calibri" w:cs="Calibri"/>
          <w:sz w:val="24"/>
          <w:szCs w:val="24"/>
        </w:rPr>
      </w:pPr>
    </w:p>
    <w:p w14:paraId="4513C54A"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government is reviewing how it assesses the relative needs and resources of English local authorities, so that it can distribute funding to councils based on a more robust and up-to-date approach. Its review (the Fair Funding Review) aims to address concerns that the current formula for determining each council’s Baseline Funding Level (BFL) is unfair, out of date and overly complex.</w:t>
      </w:r>
    </w:p>
    <w:p w14:paraId="22849235" w14:textId="77777777" w:rsidR="00240C02" w:rsidRPr="00B058D7" w:rsidRDefault="00240C02" w:rsidP="00240C02">
      <w:pPr>
        <w:spacing w:after="0" w:line="240" w:lineRule="auto"/>
        <w:jc w:val="both"/>
        <w:rPr>
          <w:rFonts w:ascii="Calibri" w:hAnsi="Calibri" w:cs="Calibri"/>
          <w:sz w:val="24"/>
          <w:szCs w:val="24"/>
        </w:rPr>
      </w:pPr>
    </w:p>
    <w:p w14:paraId="52E9CB6D"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 xml:space="preserve">The government now plans to use an updated approach to distributing funding to councils from 2023/24. Much of the data that Government hold in relation to the current formula relates to 2013/14 and before hence significant work is necessary in order to recalibrate the formulae. As stated above, consultation is expected in the </w:t>
      </w:r>
      <w:proofErr w:type="gramStart"/>
      <w:r w:rsidRPr="00B058D7">
        <w:rPr>
          <w:rFonts w:ascii="Calibri" w:hAnsi="Calibri" w:cs="Calibri"/>
          <w:sz w:val="24"/>
          <w:szCs w:val="24"/>
        </w:rPr>
        <w:t>Spring</w:t>
      </w:r>
      <w:proofErr w:type="gramEnd"/>
      <w:r w:rsidRPr="00B058D7">
        <w:rPr>
          <w:rFonts w:ascii="Calibri" w:hAnsi="Calibri" w:cs="Calibri"/>
          <w:sz w:val="24"/>
          <w:szCs w:val="24"/>
        </w:rPr>
        <w:t xml:space="preserve"> where the scope will hopefully be outlined. As timescales are limited a compromise may be to make simple reforms or largely leave formulae alone and create a headroom pot to redistribute.</w:t>
      </w:r>
    </w:p>
    <w:p w14:paraId="6E2DFC12" w14:textId="77777777" w:rsidR="00240C02" w:rsidRPr="00B058D7" w:rsidRDefault="00240C02" w:rsidP="00240C02">
      <w:pPr>
        <w:spacing w:after="0" w:line="240" w:lineRule="auto"/>
        <w:jc w:val="both"/>
        <w:rPr>
          <w:rFonts w:ascii="Calibri" w:hAnsi="Calibri" w:cs="Calibri"/>
          <w:sz w:val="24"/>
          <w:szCs w:val="24"/>
        </w:rPr>
      </w:pPr>
    </w:p>
    <w:p w14:paraId="752C38D2"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 xml:space="preserve">The Fair Funding Review will have an enormous effect on the Council’s budget because it will affect the amount of BFL the government will give the council in future years, and thus also the </w:t>
      </w:r>
      <w:r w:rsidRPr="00B058D7">
        <w:rPr>
          <w:rFonts w:ascii="Calibri" w:hAnsi="Calibri" w:cs="Calibri"/>
          <w:sz w:val="24"/>
          <w:szCs w:val="24"/>
        </w:rPr>
        <w:lastRenderedPageBreak/>
        <w:t>amount of business rates the council can retain. As per the table in section 1.1, business rates are expected to account for a large proportion of the council’s total expenditure (excluding capital charges) in each year of the council’s MTFP.</w:t>
      </w:r>
    </w:p>
    <w:p w14:paraId="3C8CBAEA" w14:textId="77777777" w:rsidR="00240C02" w:rsidRPr="00B058D7" w:rsidRDefault="00240C02" w:rsidP="00240C02">
      <w:pPr>
        <w:spacing w:after="0" w:line="240" w:lineRule="auto"/>
        <w:jc w:val="both"/>
        <w:rPr>
          <w:rFonts w:ascii="Calibri" w:hAnsi="Calibri" w:cs="Calibri"/>
          <w:sz w:val="24"/>
          <w:szCs w:val="24"/>
        </w:rPr>
      </w:pPr>
    </w:p>
    <w:p w14:paraId="7DEB68C3" w14:textId="77777777" w:rsidR="00240C02" w:rsidRPr="00B058D7" w:rsidRDefault="00240C02" w:rsidP="00240C02">
      <w:pPr>
        <w:pStyle w:val="ListParagraph"/>
        <w:numPr>
          <w:ilvl w:val="0"/>
          <w:numId w:val="25"/>
        </w:numPr>
        <w:spacing w:after="0" w:line="240" w:lineRule="auto"/>
        <w:jc w:val="both"/>
        <w:rPr>
          <w:rFonts w:ascii="Calibri" w:hAnsi="Calibri" w:cs="Calibri"/>
          <w:b/>
          <w:sz w:val="24"/>
          <w:szCs w:val="24"/>
          <w:u w:val="single"/>
        </w:rPr>
      </w:pPr>
      <w:bookmarkStart w:id="3" w:name="_Ref32165983"/>
      <w:r w:rsidRPr="00B058D7">
        <w:rPr>
          <w:rFonts w:ascii="Calibri" w:hAnsi="Calibri" w:cs="Calibri"/>
          <w:b/>
          <w:sz w:val="24"/>
          <w:szCs w:val="24"/>
          <w:u w:val="single"/>
        </w:rPr>
        <w:t>Retained Business Rates</w:t>
      </w:r>
      <w:bookmarkEnd w:id="3"/>
    </w:p>
    <w:p w14:paraId="4B1F052A" w14:textId="77777777" w:rsidR="00240C02" w:rsidRPr="00B058D7" w:rsidRDefault="00240C02" w:rsidP="00240C02">
      <w:pPr>
        <w:spacing w:after="0" w:line="240" w:lineRule="auto"/>
        <w:jc w:val="both"/>
        <w:rPr>
          <w:rFonts w:ascii="Calibri" w:hAnsi="Calibri" w:cs="Calibri"/>
          <w:sz w:val="24"/>
          <w:szCs w:val="24"/>
        </w:rPr>
      </w:pPr>
    </w:p>
    <w:p w14:paraId="0015EDB6"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introduction of the current 50% business rates retention system in 2013/14 has allowed councils which have increased their locally raised business rates income since this time to benefit from the additional income generated.</w:t>
      </w:r>
    </w:p>
    <w:p w14:paraId="644CFD3D" w14:textId="77777777" w:rsidR="00240C02" w:rsidRPr="00B058D7" w:rsidRDefault="00240C02" w:rsidP="00240C02">
      <w:pPr>
        <w:spacing w:after="0" w:line="240" w:lineRule="auto"/>
        <w:jc w:val="both"/>
        <w:rPr>
          <w:rFonts w:ascii="Calibri" w:hAnsi="Calibri" w:cs="Calibri"/>
          <w:sz w:val="24"/>
          <w:szCs w:val="24"/>
        </w:rPr>
      </w:pPr>
    </w:p>
    <w:p w14:paraId="789BE7BF"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government plans to implement a reformed business rates retention system, though for changes not to take place until 2023/24 at the earliest. The reforms aim to:</w:t>
      </w:r>
    </w:p>
    <w:p w14:paraId="10168905" w14:textId="77777777" w:rsidR="00240C02" w:rsidRPr="00B058D7" w:rsidRDefault="00240C02" w:rsidP="00240C02">
      <w:pPr>
        <w:spacing w:after="0" w:line="240" w:lineRule="auto"/>
        <w:jc w:val="both"/>
        <w:rPr>
          <w:rFonts w:ascii="Calibri" w:hAnsi="Calibri" w:cs="Calibri"/>
          <w:sz w:val="24"/>
          <w:szCs w:val="24"/>
        </w:rPr>
      </w:pPr>
    </w:p>
    <w:p w14:paraId="4B933765" w14:textId="77777777" w:rsidR="00240C02" w:rsidRPr="00B058D7" w:rsidRDefault="00240C02" w:rsidP="00B058D7">
      <w:pPr>
        <w:pStyle w:val="ListParagraph"/>
        <w:numPr>
          <w:ilvl w:val="0"/>
          <w:numId w:val="17"/>
        </w:numPr>
        <w:spacing w:after="0" w:line="240" w:lineRule="auto"/>
        <w:ind w:left="284" w:hanging="284"/>
        <w:jc w:val="both"/>
        <w:rPr>
          <w:rFonts w:ascii="Calibri" w:hAnsi="Calibri" w:cs="Calibri"/>
          <w:sz w:val="24"/>
          <w:szCs w:val="24"/>
        </w:rPr>
      </w:pPr>
      <w:r w:rsidRPr="00B058D7">
        <w:rPr>
          <w:rFonts w:ascii="Calibri" w:hAnsi="Calibri" w:cs="Calibri"/>
          <w:sz w:val="24"/>
          <w:szCs w:val="24"/>
        </w:rPr>
        <w:t>give local authorities greater control over the money it raises;</w:t>
      </w:r>
    </w:p>
    <w:p w14:paraId="69C0E878" w14:textId="77777777" w:rsidR="00240C02" w:rsidRPr="00B058D7" w:rsidRDefault="00240C02" w:rsidP="00B058D7">
      <w:pPr>
        <w:pStyle w:val="ListParagraph"/>
        <w:numPr>
          <w:ilvl w:val="0"/>
          <w:numId w:val="17"/>
        </w:numPr>
        <w:spacing w:after="0" w:line="240" w:lineRule="auto"/>
        <w:ind w:left="284" w:hanging="284"/>
        <w:jc w:val="both"/>
        <w:rPr>
          <w:rFonts w:ascii="Calibri" w:hAnsi="Calibri" w:cs="Calibri"/>
          <w:sz w:val="24"/>
          <w:szCs w:val="24"/>
        </w:rPr>
      </w:pPr>
      <w:r w:rsidRPr="00B058D7">
        <w:rPr>
          <w:rFonts w:ascii="Calibri" w:hAnsi="Calibri" w:cs="Calibri"/>
          <w:sz w:val="24"/>
          <w:szCs w:val="24"/>
        </w:rPr>
        <w:t>support local economic growth;</w:t>
      </w:r>
    </w:p>
    <w:p w14:paraId="28A32813" w14:textId="77777777" w:rsidR="00240C02" w:rsidRPr="00B058D7" w:rsidRDefault="00240C02" w:rsidP="00B058D7">
      <w:pPr>
        <w:pStyle w:val="ListParagraph"/>
        <w:numPr>
          <w:ilvl w:val="0"/>
          <w:numId w:val="17"/>
        </w:numPr>
        <w:spacing w:after="0" w:line="240" w:lineRule="auto"/>
        <w:ind w:left="284" w:hanging="284"/>
        <w:jc w:val="both"/>
        <w:rPr>
          <w:rFonts w:ascii="Calibri" w:hAnsi="Calibri" w:cs="Calibri"/>
          <w:sz w:val="24"/>
          <w:szCs w:val="24"/>
        </w:rPr>
      </w:pPr>
      <w:r w:rsidRPr="00B058D7">
        <w:rPr>
          <w:rFonts w:ascii="Calibri" w:hAnsi="Calibri" w:cs="Calibri"/>
          <w:sz w:val="24"/>
          <w:szCs w:val="24"/>
        </w:rPr>
        <w:t>update the balance of risk (of loss) and reward (for growth) in the system; and</w:t>
      </w:r>
    </w:p>
    <w:p w14:paraId="16452AA2" w14:textId="77777777" w:rsidR="00240C02" w:rsidRPr="00B058D7" w:rsidRDefault="00240C02" w:rsidP="00B058D7">
      <w:pPr>
        <w:pStyle w:val="ListParagraph"/>
        <w:numPr>
          <w:ilvl w:val="0"/>
          <w:numId w:val="17"/>
        </w:numPr>
        <w:spacing w:after="0" w:line="240" w:lineRule="auto"/>
        <w:ind w:left="284" w:hanging="284"/>
        <w:jc w:val="both"/>
        <w:rPr>
          <w:rFonts w:ascii="Calibri" w:hAnsi="Calibri" w:cs="Calibri"/>
          <w:sz w:val="24"/>
          <w:szCs w:val="24"/>
        </w:rPr>
      </w:pPr>
      <w:proofErr w:type="gramStart"/>
      <w:r w:rsidRPr="00B058D7">
        <w:rPr>
          <w:rFonts w:ascii="Calibri" w:hAnsi="Calibri" w:cs="Calibri"/>
          <w:sz w:val="24"/>
          <w:szCs w:val="24"/>
        </w:rPr>
        <w:t>make</w:t>
      </w:r>
      <w:proofErr w:type="gramEnd"/>
      <w:r w:rsidRPr="00B058D7">
        <w:rPr>
          <w:rFonts w:ascii="Calibri" w:hAnsi="Calibri" w:cs="Calibri"/>
          <w:sz w:val="24"/>
          <w:szCs w:val="24"/>
        </w:rPr>
        <w:t xml:space="preserve"> the system simpler and income less volatile.</w:t>
      </w:r>
    </w:p>
    <w:p w14:paraId="7681587F" w14:textId="77777777" w:rsidR="00240C02" w:rsidRPr="00B058D7" w:rsidRDefault="00240C02" w:rsidP="00240C02">
      <w:pPr>
        <w:spacing w:after="0" w:line="240" w:lineRule="auto"/>
        <w:jc w:val="both"/>
        <w:rPr>
          <w:rFonts w:ascii="Calibri" w:hAnsi="Calibri" w:cs="Calibri"/>
          <w:sz w:val="24"/>
          <w:szCs w:val="24"/>
        </w:rPr>
      </w:pPr>
    </w:p>
    <w:p w14:paraId="5B2D038F"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Two main changes have been proposed for the business rates retention system. These are:</w:t>
      </w:r>
    </w:p>
    <w:p w14:paraId="68EE75DD" w14:textId="77777777" w:rsidR="00240C02" w:rsidRPr="00B058D7" w:rsidRDefault="00240C02" w:rsidP="00240C02">
      <w:pPr>
        <w:spacing w:after="0" w:line="240" w:lineRule="auto"/>
        <w:jc w:val="both"/>
        <w:rPr>
          <w:rFonts w:ascii="Calibri" w:hAnsi="Calibri" w:cs="Calibri"/>
          <w:sz w:val="24"/>
          <w:szCs w:val="24"/>
        </w:rPr>
      </w:pPr>
    </w:p>
    <w:p w14:paraId="1F2C953A" w14:textId="77777777" w:rsidR="00240C02" w:rsidRPr="00B058D7" w:rsidRDefault="00240C02" w:rsidP="00B058D7">
      <w:pPr>
        <w:pStyle w:val="ListParagraph"/>
        <w:numPr>
          <w:ilvl w:val="0"/>
          <w:numId w:val="16"/>
        </w:numPr>
        <w:spacing w:after="0" w:line="240" w:lineRule="auto"/>
        <w:ind w:left="426" w:hanging="426"/>
        <w:jc w:val="both"/>
        <w:rPr>
          <w:rFonts w:ascii="Calibri" w:hAnsi="Calibri" w:cs="Calibri"/>
          <w:sz w:val="24"/>
          <w:szCs w:val="24"/>
        </w:rPr>
      </w:pPr>
      <w:r w:rsidRPr="00B058D7">
        <w:rPr>
          <w:rFonts w:ascii="Calibri" w:hAnsi="Calibri" w:cs="Calibri"/>
          <w:sz w:val="24"/>
          <w:szCs w:val="24"/>
        </w:rPr>
        <w:t>to increase the proportion of business rates retained locally from 50% to 75%; and</w:t>
      </w:r>
    </w:p>
    <w:p w14:paraId="0C6581CE" w14:textId="77777777" w:rsidR="00240C02" w:rsidRPr="00B058D7" w:rsidRDefault="00240C02" w:rsidP="00B058D7">
      <w:pPr>
        <w:pStyle w:val="ListParagraph"/>
        <w:numPr>
          <w:ilvl w:val="0"/>
          <w:numId w:val="16"/>
        </w:numPr>
        <w:spacing w:after="0" w:line="240" w:lineRule="auto"/>
        <w:ind w:left="426" w:hanging="426"/>
        <w:jc w:val="both"/>
        <w:rPr>
          <w:rFonts w:ascii="Calibri" w:hAnsi="Calibri" w:cs="Calibri"/>
          <w:sz w:val="24"/>
          <w:szCs w:val="24"/>
        </w:rPr>
      </w:pPr>
      <w:proofErr w:type="gramStart"/>
      <w:r w:rsidRPr="00B058D7">
        <w:rPr>
          <w:rFonts w:ascii="Calibri" w:hAnsi="Calibri" w:cs="Calibri"/>
          <w:sz w:val="24"/>
          <w:szCs w:val="24"/>
        </w:rPr>
        <w:t>to</w:t>
      </w:r>
      <w:proofErr w:type="gramEnd"/>
      <w:r w:rsidRPr="00B058D7">
        <w:rPr>
          <w:rFonts w:ascii="Calibri" w:hAnsi="Calibri" w:cs="Calibri"/>
          <w:sz w:val="24"/>
          <w:szCs w:val="24"/>
        </w:rPr>
        <w:t xml:space="preserve"> reset the Business Rates Baseline (BRB).</w:t>
      </w:r>
    </w:p>
    <w:p w14:paraId="2D316400" w14:textId="77777777" w:rsidR="00240C02" w:rsidRPr="00B058D7" w:rsidRDefault="00240C02" w:rsidP="00240C02">
      <w:pPr>
        <w:spacing w:after="0" w:line="240" w:lineRule="auto"/>
        <w:jc w:val="both"/>
        <w:rPr>
          <w:rFonts w:ascii="Calibri" w:hAnsi="Calibri" w:cs="Calibri"/>
          <w:sz w:val="24"/>
          <w:szCs w:val="24"/>
        </w:rPr>
      </w:pPr>
    </w:p>
    <w:p w14:paraId="5AD61543"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BRB is the government’s prediction of how much each council is able to raise locally in business rates.</w:t>
      </w:r>
    </w:p>
    <w:p w14:paraId="61FA8D32" w14:textId="77777777" w:rsidR="00240C02" w:rsidRPr="00B058D7" w:rsidRDefault="00240C02" w:rsidP="00240C02">
      <w:pPr>
        <w:spacing w:after="0" w:line="240" w:lineRule="auto"/>
        <w:jc w:val="both"/>
        <w:rPr>
          <w:rFonts w:ascii="Calibri" w:hAnsi="Calibri" w:cs="Calibri"/>
          <w:sz w:val="24"/>
          <w:szCs w:val="24"/>
        </w:rPr>
      </w:pPr>
    </w:p>
    <w:p w14:paraId="6407998B"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As the government intends to reform the business rates retention system in a way which is fiscally neutral, councils currently benefitting from growth in locally raised business rates income could see some of this income transferred to councils with reduced Business Rates Baselines.</w:t>
      </w:r>
    </w:p>
    <w:p w14:paraId="129A564C" w14:textId="77777777" w:rsidR="00240C02" w:rsidRPr="00B058D7" w:rsidRDefault="00240C02" w:rsidP="00240C02">
      <w:pPr>
        <w:spacing w:after="0" w:line="240" w:lineRule="auto"/>
        <w:jc w:val="both"/>
        <w:rPr>
          <w:rFonts w:ascii="Calibri" w:hAnsi="Calibri" w:cs="Calibri"/>
          <w:sz w:val="24"/>
          <w:szCs w:val="24"/>
        </w:rPr>
      </w:pPr>
    </w:p>
    <w:p w14:paraId="45ED4B32"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Nonetheless, the planned increase in proportion of NDR retained locally means that promoting economic growth and inward investment will become ever more crucial to ensuring the council’s sustainability going forward.</w:t>
      </w:r>
    </w:p>
    <w:p w14:paraId="3B6A8FBC" w14:textId="77777777" w:rsidR="00240C02" w:rsidRPr="00B058D7" w:rsidRDefault="00240C02" w:rsidP="00240C02">
      <w:pPr>
        <w:spacing w:after="0" w:line="240" w:lineRule="auto"/>
        <w:jc w:val="both"/>
        <w:rPr>
          <w:rFonts w:ascii="Calibri" w:hAnsi="Calibri" w:cs="Calibri"/>
          <w:sz w:val="24"/>
          <w:szCs w:val="24"/>
        </w:rPr>
      </w:pPr>
    </w:p>
    <w:p w14:paraId="0218FF95"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council’s MTFP accounts for planned reforms to the NDR retention system, though amounts for 2023/24 and future years are subject to higher levels of volatility. These have been modelled with the assistance of Pixel, the Council’s external advisors who assist many authorities on national funding.</w:t>
      </w:r>
    </w:p>
    <w:p w14:paraId="1411BA45" w14:textId="77777777" w:rsidR="00240C02" w:rsidRPr="00B058D7" w:rsidRDefault="00240C02" w:rsidP="00240C02">
      <w:pPr>
        <w:spacing w:after="0" w:line="240" w:lineRule="auto"/>
        <w:jc w:val="both"/>
        <w:rPr>
          <w:rFonts w:ascii="Calibri" w:hAnsi="Calibri" w:cs="Calibri"/>
          <w:sz w:val="24"/>
          <w:szCs w:val="24"/>
        </w:rPr>
      </w:pPr>
    </w:p>
    <w:p w14:paraId="072392F5"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government has proposed freezes to the proportions of businesses’ rateable values (RVs) payable as business rates in 2022/23, though has not yet proposed the reliefs it will require councils to implement for 2022/23:</w:t>
      </w:r>
    </w:p>
    <w:p w14:paraId="7AC979B9" w14:textId="77777777" w:rsidR="00240C02" w:rsidRPr="00B058D7" w:rsidRDefault="00240C02" w:rsidP="00240C02">
      <w:pPr>
        <w:spacing w:after="0" w:line="240" w:lineRule="auto"/>
        <w:jc w:val="both"/>
        <w:rPr>
          <w:rFonts w:ascii="Calibri" w:hAnsi="Calibri" w:cs="Calibri"/>
          <w:sz w:val="24"/>
          <w:szCs w:val="24"/>
        </w:rPr>
      </w:pPr>
    </w:p>
    <w:p w14:paraId="1E4F9B4E" w14:textId="77777777" w:rsidR="00240C02" w:rsidRPr="00B058D7" w:rsidRDefault="00240C02" w:rsidP="00B058D7">
      <w:pPr>
        <w:pStyle w:val="ListParagraph"/>
        <w:numPr>
          <w:ilvl w:val="0"/>
          <w:numId w:val="17"/>
        </w:numPr>
        <w:spacing w:after="0" w:line="240" w:lineRule="auto"/>
        <w:ind w:left="284" w:hanging="284"/>
        <w:jc w:val="both"/>
        <w:rPr>
          <w:rFonts w:ascii="Calibri" w:hAnsi="Calibri" w:cs="Calibri"/>
          <w:sz w:val="24"/>
          <w:szCs w:val="24"/>
        </w:rPr>
      </w:pPr>
      <w:r w:rsidRPr="00B058D7">
        <w:rPr>
          <w:rFonts w:ascii="Calibri" w:hAnsi="Calibri" w:cs="Calibri"/>
          <w:sz w:val="24"/>
          <w:szCs w:val="24"/>
        </w:rPr>
        <w:t>a freeze in the small business NDR multiplier at 49.9p;</w:t>
      </w:r>
    </w:p>
    <w:p w14:paraId="6F05C4CB" w14:textId="77777777" w:rsidR="00240C02" w:rsidRPr="00B058D7" w:rsidRDefault="00240C02" w:rsidP="00B058D7">
      <w:pPr>
        <w:pStyle w:val="ListParagraph"/>
        <w:numPr>
          <w:ilvl w:val="0"/>
          <w:numId w:val="17"/>
        </w:numPr>
        <w:spacing w:after="0" w:line="240" w:lineRule="auto"/>
        <w:ind w:left="284" w:hanging="284"/>
        <w:jc w:val="both"/>
        <w:rPr>
          <w:rFonts w:ascii="Calibri" w:hAnsi="Calibri" w:cs="Calibri"/>
          <w:sz w:val="24"/>
          <w:szCs w:val="24"/>
        </w:rPr>
      </w:pPr>
      <w:r w:rsidRPr="00B058D7">
        <w:rPr>
          <w:rFonts w:ascii="Calibri" w:hAnsi="Calibri" w:cs="Calibri"/>
          <w:sz w:val="24"/>
          <w:szCs w:val="24"/>
        </w:rPr>
        <w:t>a freeze in the NDR multiplier at 51.2p;</w:t>
      </w:r>
    </w:p>
    <w:p w14:paraId="4B5B8832" w14:textId="77777777" w:rsidR="00240C02" w:rsidRPr="00B058D7" w:rsidRDefault="00240C02" w:rsidP="00240C02">
      <w:pPr>
        <w:spacing w:after="0" w:line="240" w:lineRule="auto"/>
        <w:jc w:val="both"/>
        <w:rPr>
          <w:rFonts w:ascii="Calibri" w:hAnsi="Calibri" w:cs="Calibri"/>
          <w:sz w:val="24"/>
          <w:szCs w:val="24"/>
        </w:rPr>
      </w:pPr>
    </w:p>
    <w:p w14:paraId="1184C819"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 xml:space="preserve">In accordance with section 31 (Power to pay grant) of the </w:t>
      </w:r>
      <w:r w:rsidRPr="00B058D7">
        <w:rPr>
          <w:rFonts w:ascii="Calibri" w:hAnsi="Calibri" w:cs="Calibri"/>
          <w:i/>
          <w:sz w:val="24"/>
          <w:szCs w:val="24"/>
        </w:rPr>
        <w:t>Local Government Act 2003</w:t>
      </w:r>
      <w:r w:rsidRPr="00B058D7">
        <w:rPr>
          <w:rFonts w:ascii="Calibri" w:hAnsi="Calibri" w:cs="Calibri"/>
          <w:sz w:val="24"/>
          <w:szCs w:val="24"/>
        </w:rPr>
        <w:t>, the government will fully fund local authorities for awarding these reliefs, and provide funding for the administrative and IT costs associated with implementing these new burdens.</w:t>
      </w:r>
    </w:p>
    <w:p w14:paraId="2DFD2A12" w14:textId="77777777" w:rsidR="00240C02" w:rsidRPr="00B058D7" w:rsidRDefault="00240C02" w:rsidP="00240C02">
      <w:pPr>
        <w:spacing w:after="0" w:line="240" w:lineRule="auto"/>
        <w:jc w:val="both"/>
        <w:rPr>
          <w:rFonts w:ascii="Calibri" w:hAnsi="Calibri" w:cs="Calibri"/>
          <w:sz w:val="24"/>
          <w:szCs w:val="24"/>
        </w:rPr>
      </w:pPr>
    </w:p>
    <w:p w14:paraId="6443B6D9"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lastRenderedPageBreak/>
        <w:t>Below are some of the key risks which could affect the amount of business rates income collected and thus retained in future years:</w:t>
      </w:r>
    </w:p>
    <w:p w14:paraId="14CA9985" w14:textId="77777777" w:rsidR="00240C02" w:rsidRPr="00B058D7" w:rsidRDefault="00240C02" w:rsidP="00240C02">
      <w:pPr>
        <w:spacing w:after="0" w:line="240" w:lineRule="auto"/>
        <w:jc w:val="both"/>
        <w:rPr>
          <w:rFonts w:ascii="Calibri" w:hAnsi="Calibri" w:cs="Calibri"/>
          <w:sz w:val="24"/>
          <w:szCs w:val="24"/>
        </w:rPr>
      </w:pPr>
    </w:p>
    <w:p w14:paraId="3B70525E" w14:textId="77777777" w:rsidR="00240C02" w:rsidRPr="00B058D7" w:rsidRDefault="00240C02" w:rsidP="00B058D7">
      <w:pPr>
        <w:pStyle w:val="ListParagraph"/>
        <w:numPr>
          <w:ilvl w:val="0"/>
          <w:numId w:val="3"/>
        </w:numPr>
        <w:spacing w:after="0" w:line="240" w:lineRule="auto"/>
        <w:ind w:left="284" w:hanging="284"/>
        <w:jc w:val="both"/>
        <w:rPr>
          <w:rFonts w:ascii="Calibri" w:hAnsi="Calibri" w:cs="Calibri"/>
          <w:sz w:val="24"/>
          <w:szCs w:val="24"/>
        </w:rPr>
      </w:pPr>
      <w:r w:rsidRPr="00B058D7">
        <w:rPr>
          <w:rFonts w:ascii="Calibri" w:hAnsi="Calibri" w:cs="Calibri"/>
          <w:sz w:val="24"/>
          <w:szCs w:val="24"/>
        </w:rPr>
        <w:t>slower than anticipated local economic growth, or local economic growth at a rate less than the change in Consumer Price Index (CPI) used to determine annual business rates payable;</w:t>
      </w:r>
    </w:p>
    <w:p w14:paraId="5F14ABD3" w14:textId="77777777" w:rsidR="00240C02" w:rsidRPr="00B058D7" w:rsidRDefault="00240C02" w:rsidP="00B058D7">
      <w:pPr>
        <w:pStyle w:val="ListParagraph"/>
        <w:numPr>
          <w:ilvl w:val="0"/>
          <w:numId w:val="3"/>
        </w:numPr>
        <w:spacing w:after="0" w:line="240" w:lineRule="auto"/>
        <w:ind w:left="284" w:hanging="284"/>
        <w:jc w:val="both"/>
        <w:rPr>
          <w:rFonts w:ascii="Calibri" w:hAnsi="Calibri" w:cs="Calibri"/>
          <w:sz w:val="24"/>
          <w:szCs w:val="24"/>
        </w:rPr>
      </w:pPr>
      <w:r w:rsidRPr="00B058D7">
        <w:rPr>
          <w:rFonts w:ascii="Calibri" w:hAnsi="Calibri" w:cs="Calibri"/>
          <w:sz w:val="24"/>
          <w:szCs w:val="24"/>
        </w:rPr>
        <w:t>successful backdated appeals from businesses regarding the amounts of business rates payable in previous years;</w:t>
      </w:r>
    </w:p>
    <w:p w14:paraId="3710A907" w14:textId="77777777" w:rsidR="00240C02" w:rsidRPr="00B058D7" w:rsidRDefault="00240C02" w:rsidP="00B058D7">
      <w:pPr>
        <w:pStyle w:val="ListParagraph"/>
        <w:numPr>
          <w:ilvl w:val="0"/>
          <w:numId w:val="3"/>
        </w:numPr>
        <w:spacing w:after="0" w:line="240" w:lineRule="auto"/>
        <w:ind w:left="284" w:hanging="284"/>
        <w:jc w:val="both"/>
        <w:rPr>
          <w:rFonts w:ascii="Calibri" w:hAnsi="Calibri" w:cs="Calibri"/>
          <w:sz w:val="24"/>
          <w:szCs w:val="24"/>
        </w:rPr>
      </w:pPr>
      <w:r w:rsidRPr="00B058D7">
        <w:rPr>
          <w:rFonts w:ascii="Calibri" w:hAnsi="Calibri" w:cs="Calibri"/>
          <w:sz w:val="24"/>
          <w:szCs w:val="24"/>
        </w:rPr>
        <w:t>uncollectable debts which need to be written off; and</w:t>
      </w:r>
    </w:p>
    <w:p w14:paraId="15313030" w14:textId="77777777" w:rsidR="00240C02" w:rsidRPr="00B058D7" w:rsidRDefault="00240C02" w:rsidP="00B058D7">
      <w:pPr>
        <w:pStyle w:val="ListParagraph"/>
        <w:numPr>
          <w:ilvl w:val="0"/>
          <w:numId w:val="3"/>
        </w:numPr>
        <w:spacing w:after="0" w:line="240" w:lineRule="auto"/>
        <w:ind w:left="284" w:hanging="284"/>
        <w:jc w:val="both"/>
        <w:rPr>
          <w:rFonts w:ascii="Calibri" w:hAnsi="Calibri" w:cs="Calibri"/>
          <w:sz w:val="24"/>
          <w:szCs w:val="24"/>
        </w:rPr>
      </w:pPr>
      <w:proofErr w:type="gramStart"/>
      <w:r w:rsidRPr="00B058D7">
        <w:rPr>
          <w:rFonts w:ascii="Calibri" w:hAnsi="Calibri" w:cs="Calibri"/>
          <w:sz w:val="24"/>
          <w:szCs w:val="24"/>
        </w:rPr>
        <w:t>unpredictable</w:t>
      </w:r>
      <w:proofErr w:type="gramEnd"/>
      <w:r w:rsidRPr="00B058D7">
        <w:rPr>
          <w:rFonts w:ascii="Calibri" w:hAnsi="Calibri" w:cs="Calibri"/>
          <w:sz w:val="24"/>
          <w:szCs w:val="24"/>
        </w:rPr>
        <w:t xml:space="preserve"> increases in the amounts of discretionary reliefs granted to businesses.</w:t>
      </w:r>
    </w:p>
    <w:p w14:paraId="1B124F39" w14:textId="77777777" w:rsidR="00240C02" w:rsidRPr="00B058D7" w:rsidRDefault="00240C02" w:rsidP="00240C02">
      <w:pPr>
        <w:spacing w:after="0" w:line="240" w:lineRule="auto"/>
        <w:jc w:val="both"/>
        <w:rPr>
          <w:rFonts w:ascii="Calibri" w:hAnsi="Calibri" w:cs="Calibri"/>
          <w:sz w:val="24"/>
          <w:szCs w:val="24"/>
        </w:rPr>
      </w:pPr>
    </w:p>
    <w:p w14:paraId="2875F083"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total rateable value (RV) of all business premises within the district anticipated at the beginning of 2022/23 is £106.2m. If NDR payers believe that the RV of their premises is incorrect, they can appeal the RV of the premises. If appeals by NDR payers are successful, the council makes one-off refunds to NDR payers and backdates these as appropriate.</w:t>
      </w:r>
    </w:p>
    <w:p w14:paraId="4F988AE9" w14:textId="77777777" w:rsidR="00240C02" w:rsidRPr="00B058D7" w:rsidRDefault="00240C02" w:rsidP="00240C02">
      <w:pPr>
        <w:spacing w:after="0" w:line="240" w:lineRule="auto"/>
        <w:jc w:val="both"/>
        <w:rPr>
          <w:rFonts w:ascii="Calibri" w:hAnsi="Calibri" w:cs="Calibri"/>
          <w:sz w:val="24"/>
          <w:szCs w:val="24"/>
        </w:rPr>
      </w:pPr>
    </w:p>
    <w:p w14:paraId="2A15E4C3"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table below analyses the forecasted provision (money set aside) by the council at 2021/22</w:t>
      </w:r>
      <w:r w:rsidRPr="00B058D7">
        <w:rPr>
          <w:rFonts w:ascii="Calibri" w:hAnsi="Calibri" w:cs="Calibri"/>
          <w:b/>
          <w:sz w:val="24"/>
          <w:szCs w:val="24"/>
        </w:rPr>
        <w:t xml:space="preserve"> </w:t>
      </w:r>
      <w:r w:rsidRPr="00B058D7">
        <w:rPr>
          <w:rFonts w:ascii="Calibri" w:hAnsi="Calibri" w:cs="Calibri"/>
          <w:sz w:val="24"/>
          <w:szCs w:val="24"/>
        </w:rPr>
        <w:t>year-end if all appeals, challenges (prospective appeals) and threats (appeals and challenges yet to be received) regarding NDR payers’ RVs are successful:</w:t>
      </w:r>
    </w:p>
    <w:p w14:paraId="24F5D7B2" w14:textId="77777777" w:rsidR="00240C02" w:rsidRPr="00B058D7" w:rsidRDefault="00240C02" w:rsidP="00240C02">
      <w:pPr>
        <w:spacing w:after="0" w:line="240" w:lineRule="auto"/>
        <w:jc w:val="both"/>
        <w:rPr>
          <w:rFonts w:ascii="Calibri" w:hAnsi="Calibri" w:cs="Calibri"/>
          <w:sz w:val="24"/>
          <w:szCs w:val="24"/>
        </w:rPr>
      </w:pPr>
    </w:p>
    <w:tbl>
      <w:tblPr>
        <w:tblStyle w:val="TableGrid"/>
        <w:tblW w:w="9639" w:type="dxa"/>
        <w:tblInd w:w="108" w:type="dxa"/>
        <w:tblLook w:val="04A0" w:firstRow="1" w:lastRow="0" w:firstColumn="1" w:lastColumn="0" w:noHBand="0" w:noVBand="1"/>
      </w:tblPr>
      <w:tblGrid>
        <w:gridCol w:w="5519"/>
        <w:gridCol w:w="1373"/>
        <w:gridCol w:w="1373"/>
        <w:gridCol w:w="1374"/>
      </w:tblGrid>
      <w:tr w:rsidR="00240C02" w:rsidRPr="00B058D7" w14:paraId="12CA06CE" w14:textId="77777777" w:rsidTr="0047065A">
        <w:tc>
          <w:tcPr>
            <w:tcW w:w="5519" w:type="dxa"/>
            <w:vAlign w:val="center"/>
          </w:tcPr>
          <w:p w14:paraId="06608CC0"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Forecasted provision by council at 2021/22 year-end if all NDR appeals, challenges and threats successful</w:t>
            </w:r>
          </w:p>
        </w:tc>
        <w:tc>
          <w:tcPr>
            <w:tcW w:w="1373" w:type="dxa"/>
            <w:vAlign w:val="center"/>
          </w:tcPr>
          <w:p w14:paraId="4104675C"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Number of businesses</w:t>
            </w:r>
          </w:p>
        </w:tc>
        <w:tc>
          <w:tcPr>
            <w:tcW w:w="1373" w:type="dxa"/>
            <w:vAlign w:val="center"/>
          </w:tcPr>
          <w:p w14:paraId="60FE0472"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Reduction in RV (£m)</w:t>
            </w:r>
          </w:p>
        </w:tc>
        <w:tc>
          <w:tcPr>
            <w:tcW w:w="1374" w:type="dxa"/>
            <w:vAlign w:val="center"/>
          </w:tcPr>
          <w:p w14:paraId="0BFD62F5"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Cost (£m)</w:t>
            </w:r>
          </w:p>
        </w:tc>
      </w:tr>
      <w:tr w:rsidR="00240C02" w:rsidRPr="00B058D7" w14:paraId="28A888FA" w14:textId="77777777" w:rsidTr="0047065A">
        <w:tc>
          <w:tcPr>
            <w:tcW w:w="5519" w:type="dxa"/>
            <w:vAlign w:val="center"/>
          </w:tcPr>
          <w:p w14:paraId="6B73D058" w14:textId="77777777" w:rsidR="00240C02" w:rsidRPr="00B058D7" w:rsidRDefault="00240C02" w:rsidP="0047065A">
            <w:pPr>
              <w:rPr>
                <w:rFonts w:ascii="Calibri" w:hAnsi="Calibri" w:cs="Calibri"/>
                <w:sz w:val="24"/>
                <w:szCs w:val="24"/>
              </w:rPr>
            </w:pPr>
            <w:r w:rsidRPr="00B058D7">
              <w:rPr>
                <w:rFonts w:ascii="Calibri" w:hAnsi="Calibri" w:cs="Calibri"/>
                <w:sz w:val="24"/>
                <w:szCs w:val="24"/>
              </w:rPr>
              <w:t>Appeals</w:t>
            </w:r>
          </w:p>
        </w:tc>
        <w:tc>
          <w:tcPr>
            <w:tcW w:w="1373" w:type="dxa"/>
          </w:tcPr>
          <w:p w14:paraId="550CB30F"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8</w:t>
            </w:r>
          </w:p>
        </w:tc>
        <w:tc>
          <w:tcPr>
            <w:tcW w:w="1373" w:type="dxa"/>
          </w:tcPr>
          <w:p w14:paraId="633E2049"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0.108</w:t>
            </w:r>
          </w:p>
        </w:tc>
        <w:tc>
          <w:tcPr>
            <w:tcW w:w="1374" w:type="dxa"/>
          </w:tcPr>
          <w:p w14:paraId="6169888E"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0.127</w:t>
            </w:r>
          </w:p>
        </w:tc>
      </w:tr>
      <w:tr w:rsidR="00240C02" w:rsidRPr="00B058D7" w14:paraId="28FFA97A" w14:textId="77777777" w:rsidTr="0047065A">
        <w:tc>
          <w:tcPr>
            <w:tcW w:w="5519" w:type="dxa"/>
            <w:vAlign w:val="center"/>
          </w:tcPr>
          <w:p w14:paraId="649BAD0B" w14:textId="77777777" w:rsidR="00240C02" w:rsidRPr="00B058D7" w:rsidRDefault="00240C02" w:rsidP="0047065A">
            <w:pPr>
              <w:rPr>
                <w:rFonts w:ascii="Calibri" w:hAnsi="Calibri" w:cs="Calibri"/>
                <w:sz w:val="24"/>
                <w:szCs w:val="24"/>
              </w:rPr>
            </w:pPr>
            <w:r w:rsidRPr="00B058D7">
              <w:rPr>
                <w:rFonts w:ascii="Calibri" w:hAnsi="Calibri" w:cs="Calibri"/>
                <w:sz w:val="24"/>
                <w:szCs w:val="24"/>
              </w:rPr>
              <w:t>Challenges (prospective appeals)</w:t>
            </w:r>
          </w:p>
        </w:tc>
        <w:tc>
          <w:tcPr>
            <w:tcW w:w="1373" w:type="dxa"/>
          </w:tcPr>
          <w:p w14:paraId="434A711D"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10</w:t>
            </w:r>
          </w:p>
        </w:tc>
        <w:tc>
          <w:tcPr>
            <w:tcW w:w="1373" w:type="dxa"/>
          </w:tcPr>
          <w:p w14:paraId="19E23184"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0.342</w:t>
            </w:r>
          </w:p>
        </w:tc>
        <w:tc>
          <w:tcPr>
            <w:tcW w:w="1374" w:type="dxa"/>
          </w:tcPr>
          <w:p w14:paraId="15924F7A"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0.301</w:t>
            </w:r>
          </w:p>
        </w:tc>
      </w:tr>
      <w:tr w:rsidR="00240C02" w:rsidRPr="00B058D7" w14:paraId="7946DD49" w14:textId="77777777" w:rsidTr="0047065A">
        <w:tc>
          <w:tcPr>
            <w:tcW w:w="5519" w:type="dxa"/>
            <w:vAlign w:val="center"/>
          </w:tcPr>
          <w:p w14:paraId="731582F6" w14:textId="77777777" w:rsidR="00240C02" w:rsidRPr="00B058D7" w:rsidRDefault="00240C02" w:rsidP="0047065A">
            <w:pPr>
              <w:rPr>
                <w:rFonts w:ascii="Calibri" w:hAnsi="Calibri" w:cs="Calibri"/>
                <w:sz w:val="24"/>
                <w:szCs w:val="24"/>
              </w:rPr>
            </w:pPr>
            <w:r w:rsidRPr="00B058D7">
              <w:rPr>
                <w:rFonts w:ascii="Calibri" w:hAnsi="Calibri" w:cs="Calibri"/>
                <w:sz w:val="24"/>
                <w:szCs w:val="24"/>
              </w:rPr>
              <w:t>Threats (appeals and challenges yet to be received)</w:t>
            </w:r>
          </w:p>
        </w:tc>
        <w:tc>
          <w:tcPr>
            <w:tcW w:w="1373" w:type="dxa"/>
          </w:tcPr>
          <w:p w14:paraId="1B4E08D0"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249</w:t>
            </w:r>
          </w:p>
        </w:tc>
        <w:tc>
          <w:tcPr>
            <w:tcW w:w="1373" w:type="dxa"/>
          </w:tcPr>
          <w:p w14:paraId="1BB4C757"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1.965</w:t>
            </w:r>
          </w:p>
        </w:tc>
        <w:tc>
          <w:tcPr>
            <w:tcW w:w="1374" w:type="dxa"/>
          </w:tcPr>
          <w:p w14:paraId="01501BCB"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3.601</w:t>
            </w:r>
          </w:p>
        </w:tc>
      </w:tr>
      <w:tr w:rsidR="00240C02" w:rsidRPr="00B058D7" w14:paraId="30578A25" w14:textId="77777777" w:rsidTr="0047065A">
        <w:tc>
          <w:tcPr>
            <w:tcW w:w="5519" w:type="dxa"/>
            <w:vAlign w:val="center"/>
          </w:tcPr>
          <w:p w14:paraId="2EA42F9C"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Forecasted provision by council at 2021/22 year-end</w:t>
            </w:r>
          </w:p>
        </w:tc>
        <w:tc>
          <w:tcPr>
            <w:tcW w:w="1373" w:type="dxa"/>
          </w:tcPr>
          <w:p w14:paraId="6BC33CE0" w14:textId="77777777" w:rsidR="00240C02" w:rsidRPr="00B058D7" w:rsidRDefault="00240C02" w:rsidP="0047065A">
            <w:pPr>
              <w:jc w:val="right"/>
              <w:rPr>
                <w:rFonts w:ascii="Calibri" w:hAnsi="Calibri" w:cs="Calibri"/>
                <w:b/>
                <w:sz w:val="24"/>
                <w:szCs w:val="24"/>
              </w:rPr>
            </w:pPr>
            <w:r w:rsidRPr="00B058D7">
              <w:rPr>
                <w:rFonts w:ascii="Calibri" w:hAnsi="Calibri" w:cs="Calibri"/>
                <w:b/>
                <w:sz w:val="24"/>
                <w:szCs w:val="24"/>
              </w:rPr>
              <w:t>267</w:t>
            </w:r>
          </w:p>
        </w:tc>
        <w:tc>
          <w:tcPr>
            <w:tcW w:w="1373" w:type="dxa"/>
          </w:tcPr>
          <w:p w14:paraId="3C0348F9" w14:textId="77777777" w:rsidR="00240C02" w:rsidRPr="00B058D7" w:rsidRDefault="00240C02" w:rsidP="0047065A">
            <w:pPr>
              <w:jc w:val="right"/>
              <w:rPr>
                <w:rFonts w:ascii="Calibri" w:hAnsi="Calibri" w:cs="Calibri"/>
                <w:b/>
                <w:sz w:val="24"/>
                <w:szCs w:val="24"/>
              </w:rPr>
            </w:pPr>
            <w:r w:rsidRPr="00B058D7">
              <w:rPr>
                <w:rFonts w:ascii="Calibri" w:hAnsi="Calibri" w:cs="Calibri"/>
                <w:b/>
                <w:sz w:val="24"/>
                <w:szCs w:val="24"/>
              </w:rPr>
              <w:t>2.415</w:t>
            </w:r>
          </w:p>
        </w:tc>
        <w:tc>
          <w:tcPr>
            <w:tcW w:w="1374" w:type="dxa"/>
          </w:tcPr>
          <w:p w14:paraId="65134C00" w14:textId="77777777" w:rsidR="00240C02" w:rsidRPr="00B058D7" w:rsidRDefault="00240C02" w:rsidP="0047065A">
            <w:pPr>
              <w:jc w:val="right"/>
              <w:rPr>
                <w:rFonts w:ascii="Calibri" w:hAnsi="Calibri" w:cs="Calibri"/>
                <w:b/>
                <w:sz w:val="24"/>
                <w:szCs w:val="24"/>
              </w:rPr>
            </w:pPr>
            <w:r w:rsidRPr="00B058D7">
              <w:rPr>
                <w:rFonts w:ascii="Calibri" w:hAnsi="Calibri" w:cs="Calibri"/>
                <w:b/>
                <w:sz w:val="24"/>
                <w:szCs w:val="24"/>
              </w:rPr>
              <w:t>4.029</w:t>
            </w:r>
          </w:p>
        </w:tc>
      </w:tr>
    </w:tbl>
    <w:p w14:paraId="295B87BB" w14:textId="77777777" w:rsidR="00240C02" w:rsidRPr="00B058D7" w:rsidRDefault="00240C02" w:rsidP="00240C02">
      <w:pPr>
        <w:spacing w:after="0" w:line="240" w:lineRule="auto"/>
        <w:jc w:val="both"/>
        <w:rPr>
          <w:rFonts w:ascii="Calibri" w:hAnsi="Calibri" w:cs="Calibri"/>
          <w:sz w:val="24"/>
          <w:szCs w:val="24"/>
        </w:rPr>
      </w:pPr>
    </w:p>
    <w:p w14:paraId="3772E60E"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If appeals that the council has provided for (set money aside) are unsuccessful, or are successful but cost the council less than the amount set aside for these appeals, the council can release the surplus provisions back into the Collection Fund, in order that this may then be re-distributed back to the council and its preceptors. Similarly, where appeals are settled higher than funds set aside, an additional charge would need to be levied from the council and its preceptors in order to fund the deficit arising.</w:t>
      </w:r>
    </w:p>
    <w:p w14:paraId="4DF067C0" w14:textId="77777777" w:rsidR="00240C02" w:rsidRPr="00B058D7" w:rsidRDefault="00240C02" w:rsidP="00240C02">
      <w:pPr>
        <w:spacing w:after="0" w:line="240" w:lineRule="auto"/>
        <w:jc w:val="both"/>
        <w:rPr>
          <w:rFonts w:ascii="Calibri" w:hAnsi="Calibri" w:cs="Calibri"/>
          <w:sz w:val="24"/>
          <w:szCs w:val="24"/>
        </w:rPr>
      </w:pPr>
      <w:bookmarkStart w:id="4" w:name="_Ref32166479"/>
    </w:p>
    <w:p w14:paraId="1AC9013A" w14:textId="77777777" w:rsidR="00240C02" w:rsidRPr="00B058D7" w:rsidRDefault="00240C02" w:rsidP="00240C02">
      <w:pPr>
        <w:pStyle w:val="ListParagraph"/>
        <w:numPr>
          <w:ilvl w:val="0"/>
          <w:numId w:val="25"/>
        </w:numPr>
        <w:spacing w:after="0" w:line="240" w:lineRule="auto"/>
        <w:jc w:val="both"/>
        <w:rPr>
          <w:rFonts w:ascii="Calibri" w:hAnsi="Calibri" w:cs="Calibri"/>
          <w:b/>
          <w:sz w:val="24"/>
          <w:szCs w:val="24"/>
          <w:u w:val="single"/>
        </w:rPr>
      </w:pPr>
      <w:bookmarkStart w:id="5" w:name="_Ref63330651"/>
      <w:r w:rsidRPr="00B058D7">
        <w:rPr>
          <w:rFonts w:ascii="Calibri" w:hAnsi="Calibri" w:cs="Calibri"/>
          <w:b/>
          <w:sz w:val="24"/>
          <w:szCs w:val="24"/>
          <w:u w:val="single"/>
        </w:rPr>
        <w:t>Council Tax</w:t>
      </w:r>
      <w:bookmarkEnd w:id="4"/>
      <w:bookmarkEnd w:id="5"/>
    </w:p>
    <w:p w14:paraId="2C40C4B2" w14:textId="77777777" w:rsidR="00240C02" w:rsidRPr="00B058D7" w:rsidRDefault="00240C02" w:rsidP="00240C02">
      <w:pPr>
        <w:pStyle w:val="2Paragraphs"/>
        <w:rPr>
          <w:rFonts w:ascii="Calibri" w:hAnsi="Calibri" w:cs="Calibri"/>
        </w:rPr>
      </w:pPr>
    </w:p>
    <w:p w14:paraId="4BC6A419" w14:textId="77777777" w:rsidR="00240C02" w:rsidRPr="00B058D7" w:rsidRDefault="00240C02" w:rsidP="00240C02">
      <w:pPr>
        <w:pStyle w:val="2Paragraphs"/>
        <w:rPr>
          <w:rFonts w:ascii="Calibri" w:hAnsi="Calibri" w:cs="Calibri"/>
        </w:rPr>
      </w:pPr>
      <w:r w:rsidRPr="00B058D7">
        <w:rPr>
          <w:rFonts w:ascii="Calibri" w:hAnsi="Calibri" w:cs="Calibri"/>
        </w:rPr>
        <w:t xml:space="preserve">Chapter IVA (Limitation of Council Tax and Precepts) of the </w:t>
      </w:r>
      <w:r w:rsidRPr="00B058D7">
        <w:rPr>
          <w:rFonts w:ascii="Calibri" w:hAnsi="Calibri" w:cs="Calibri"/>
          <w:i/>
        </w:rPr>
        <w:t>Local Government Finance Act 1992</w:t>
      </w:r>
      <w:r w:rsidRPr="00B058D7">
        <w:rPr>
          <w:rFonts w:ascii="Calibri" w:hAnsi="Calibri" w:cs="Calibri"/>
        </w:rPr>
        <w:t xml:space="preserve"> requires billing authorities to hold referenda if their relevant basic amount of council tax for a financial year is in excess of a set of principles determined by the Secretary of State.</w:t>
      </w:r>
    </w:p>
    <w:p w14:paraId="1E923F35" w14:textId="77777777" w:rsidR="00240C02" w:rsidRPr="00B058D7" w:rsidRDefault="00240C02" w:rsidP="00240C02">
      <w:pPr>
        <w:pStyle w:val="2Paragraphs"/>
        <w:ind w:left="720"/>
        <w:rPr>
          <w:rFonts w:ascii="Calibri" w:hAnsi="Calibri" w:cs="Calibri"/>
        </w:rPr>
      </w:pPr>
    </w:p>
    <w:p w14:paraId="6B8F8BD9" w14:textId="77777777" w:rsidR="00240C02" w:rsidRPr="00B058D7" w:rsidRDefault="00240C02" w:rsidP="00240C02">
      <w:pPr>
        <w:pStyle w:val="2Paragraphs"/>
        <w:rPr>
          <w:rFonts w:ascii="Calibri" w:hAnsi="Calibri" w:cs="Calibri"/>
        </w:rPr>
      </w:pPr>
      <w:r w:rsidRPr="00B058D7">
        <w:rPr>
          <w:rFonts w:ascii="Calibri" w:hAnsi="Calibri" w:cs="Calibri"/>
        </w:rPr>
        <w:t>An authority’s relevant basic amount of council tax is its average band D council tax excluding local precepts. The relevant basic amount of council tax for Newark &amp; Sherwood District Council includes the levy that Internal Drainage Boards charge the council. These are the Upper Witham Internal Drainage Board and the Trent Valley Internal Drainage Board.</w:t>
      </w:r>
    </w:p>
    <w:p w14:paraId="7CF4FB7D" w14:textId="77777777" w:rsidR="00240C02" w:rsidRPr="00B058D7" w:rsidRDefault="00240C02" w:rsidP="00240C02">
      <w:pPr>
        <w:pStyle w:val="2Paragraphs"/>
        <w:rPr>
          <w:rFonts w:ascii="Calibri" w:hAnsi="Calibri" w:cs="Calibri"/>
        </w:rPr>
      </w:pPr>
    </w:p>
    <w:p w14:paraId="5D60EDC2" w14:textId="77777777" w:rsidR="00240C02" w:rsidRPr="00B058D7" w:rsidRDefault="00240C02" w:rsidP="00240C02">
      <w:pPr>
        <w:pStyle w:val="2Paragraphs"/>
        <w:rPr>
          <w:rFonts w:ascii="Calibri" w:hAnsi="Calibri" w:cs="Calibri"/>
        </w:rPr>
      </w:pPr>
      <w:r w:rsidRPr="00B058D7">
        <w:rPr>
          <w:rFonts w:ascii="Calibri" w:hAnsi="Calibri" w:cs="Calibri"/>
        </w:rPr>
        <w:t>Since 2016/17, shire district councils have been able to increase council tax by the greater of the core principle or £5.00 without holding referenda. For 2018/19 and 2019/20, the core principle was 3%; and for all other years, the core principle was 2%.</w:t>
      </w:r>
    </w:p>
    <w:p w14:paraId="6A8E1559" w14:textId="540B1049" w:rsidR="00240C02" w:rsidRDefault="00240C02" w:rsidP="00240C02">
      <w:pPr>
        <w:pStyle w:val="2Paragraphs"/>
        <w:rPr>
          <w:rFonts w:ascii="Calibri" w:hAnsi="Calibri" w:cs="Calibri"/>
        </w:rPr>
      </w:pPr>
    </w:p>
    <w:p w14:paraId="477C9590" w14:textId="77777777" w:rsidR="00B058D7" w:rsidRPr="00B058D7" w:rsidRDefault="00B058D7" w:rsidP="00240C02">
      <w:pPr>
        <w:pStyle w:val="2Paragraphs"/>
        <w:rPr>
          <w:rFonts w:ascii="Calibri" w:hAnsi="Calibri" w:cs="Calibri"/>
        </w:rPr>
      </w:pPr>
    </w:p>
    <w:p w14:paraId="67D5EA6B" w14:textId="77777777" w:rsidR="00240C02" w:rsidRPr="00B058D7" w:rsidRDefault="00240C02" w:rsidP="00240C02">
      <w:pPr>
        <w:pStyle w:val="2Paragraphs"/>
        <w:rPr>
          <w:rFonts w:ascii="Calibri" w:hAnsi="Calibri" w:cs="Calibri"/>
        </w:rPr>
      </w:pPr>
      <w:r w:rsidRPr="00B058D7">
        <w:rPr>
          <w:rFonts w:ascii="Calibri" w:hAnsi="Calibri" w:cs="Calibri"/>
        </w:rPr>
        <w:lastRenderedPageBreak/>
        <w:t>The proposed core principle for 2022/23 is 2%. The government’s proposed council tax referendum principle for shire district councils therefore permits increases in the council’s 2022/23 relevant basic amount of council tax of up to (and including) the greater of 1.99% or £5.00 without holding a referendum.</w:t>
      </w:r>
    </w:p>
    <w:p w14:paraId="148F0B14" w14:textId="77777777" w:rsidR="00240C02" w:rsidRPr="00B058D7" w:rsidRDefault="00240C02" w:rsidP="00240C02">
      <w:pPr>
        <w:pStyle w:val="2Paragraphs"/>
        <w:rPr>
          <w:rFonts w:ascii="Calibri" w:hAnsi="Calibri" w:cs="Calibri"/>
        </w:rPr>
      </w:pPr>
    </w:p>
    <w:p w14:paraId="4EA8A993"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For all years since 2016/17 except 2020/21, Members have approved annual average band D council tax increases of 1.94%. For 2020/21, Members agreed an increase of £5.00 (2.88%). The council’s MTFP assumes annual increases of 1.94%.</w:t>
      </w:r>
    </w:p>
    <w:p w14:paraId="377E45CB" w14:textId="77777777" w:rsidR="00240C02" w:rsidRPr="00B058D7" w:rsidRDefault="00240C02" w:rsidP="00240C02">
      <w:pPr>
        <w:spacing w:after="0" w:line="240" w:lineRule="auto"/>
        <w:jc w:val="both"/>
        <w:rPr>
          <w:rFonts w:ascii="Calibri" w:hAnsi="Calibri" w:cs="Calibri"/>
          <w:sz w:val="24"/>
          <w:szCs w:val="24"/>
        </w:rPr>
      </w:pPr>
    </w:p>
    <w:p w14:paraId="02484AFA"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 xml:space="preserve">The council calculates how much annual council tax income it can receive by multiplying the council tax base (CTB) by the average band D council tax rate. The council tax base is the total number of properties equivalent to band D which are liable for council tax after discounts, exemptions and </w:t>
      </w:r>
      <w:proofErr w:type="spellStart"/>
      <w:r w:rsidRPr="00B058D7">
        <w:rPr>
          <w:rFonts w:ascii="Calibri" w:hAnsi="Calibri" w:cs="Calibri"/>
          <w:sz w:val="24"/>
          <w:szCs w:val="24"/>
        </w:rPr>
        <w:t>premia</w:t>
      </w:r>
      <w:proofErr w:type="spellEnd"/>
      <w:r w:rsidRPr="00B058D7">
        <w:rPr>
          <w:rFonts w:ascii="Calibri" w:hAnsi="Calibri" w:cs="Calibri"/>
          <w:sz w:val="24"/>
          <w:szCs w:val="24"/>
        </w:rPr>
        <w:t>.</w:t>
      </w:r>
    </w:p>
    <w:p w14:paraId="2A70FE36" w14:textId="77777777" w:rsidR="00240C02" w:rsidRPr="00B058D7" w:rsidRDefault="00240C02" w:rsidP="00240C02">
      <w:pPr>
        <w:spacing w:after="0" w:line="240" w:lineRule="auto"/>
        <w:jc w:val="both"/>
        <w:rPr>
          <w:rFonts w:ascii="Calibri" w:hAnsi="Calibri" w:cs="Calibri"/>
          <w:sz w:val="24"/>
          <w:szCs w:val="24"/>
        </w:rPr>
      </w:pPr>
    </w:p>
    <w:p w14:paraId="4BD52999"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council’s MTFP assumes that the 2022/23 CTB will be 3.01% higher than the 2021/22 CTB, and that there will be a 2.20% increase in CTB for 2023/24 and subsequent years.</w:t>
      </w:r>
    </w:p>
    <w:p w14:paraId="4BA9A41B" w14:textId="77777777" w:rsidR="00240C02" w:rsidRPr="00B058D7" w:rsidRDefault="00240C02" w:rsidP="00240C02">
      <w:pPr>
        <w:spacing w:after="0" w:line="240" w:lineRule="auto"/>
        <w:jc w:val="both"/>
        <w:rPr>
          <w:rFonts w:ascii="Calibri" w:hAnsi="Calibri" w:cs="Calibri"/>
          <w:sz w:val="24"/>
          <w:szCs w:val="24"/>
        </w:rPr>
      </w:pPr>
    </w:p>
    <w:p w14:paraId="46096B43"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table below shows the additional income the council would expect to receive over the four years of the MTFP, based on council tax increases of 1.94% in 2022/23, compared to if council tax was frozen at the 2021/22 level during 2022/23 but increased by 1.94% annually thereafter:</w:t>
      </w:r>
    </w:p>
    <w:p w14:paraId="7264BFCE" w14:textId="77777777" w:rsidR="00240C02" w:rsidRPr="00B058D7" w:rsidRDefault="00240C02" w:rsidP="00240C02">
      <w:pPr>
        <w:spacing w:after="0" w:line="240" w:lineRule="auto"/>
        <w:jc w:val="both"/>
        <w:rPr>
          <w:rFonts w:ascii="Calibri" w:hAnsi="Calibri" w:cs="Calibri"/>
          <w:sz w:val="24"/>
          <w:szCs w:val="24"/>
        </w:rPr>
      </w:pPr>
    </w:p>
    <w:tbl>
      <w:tblPr>
        <w:tblW w:w="9869" w:type="dxa"/>
        <w:tblInd w:w="20" w:type="dxa"/>
        <w:tblLayout w:type="fixed"/>
        <w:tblCellMar>
          <w:left w:w="0" w:type="dxa"/>
          <w:right w:w="0" w:type="dxa"/>
        </w:tblCellMar>
        <w:tblLook w:val="04A0" w:firstRow="1" w:lastRow="0" w:firstColumn="1" w:lastColumn="0" w:noHBand="0" w:noVBand="1"/>
      </w:tblPr>
      <w:tblGrid>
        <w:gridCol w:w="4057"/>
        <w:gridCol w:w="1162"/>
        <w:gridCol w:w="1162"/>
        <w:gridCol w:w="1163"/>
        <w:gridCol w:w="1162"/>
        <w:gridCol w:w="1163"/>
      </w:tblGrid>
      <w:tr w:rsidR="00240C02" w:rsidRPr="00B058D7" w14:paraId="03D6AF9C" w14:textId="77777777" w:rsidTr="0047065A">
        <w:trPr>
          <w:trHeight w:val="600"/>
        </w:trPr>
        <w:tc>
          <w:tcPr>
            <w:tcW w:w="405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0" w:type="dxa"/>
            </w:tcMar>
            <w:vAlign w:val="center"/>
            <w:hideMark/>
          </w:tcPr>
          <w:p w14:paraId="1E1F3334" w14:textId="77777777" w:rsidR="00240C02" w:rsidRPr="00B058D7" w:rsidRDefault="00240C02" w:rsidP="0047065A">
            <w:pPr>
              <w:spacing w:after="0" w:line="240" w:lineRule="auto"/>
              <w:rPr>
                <w:rFonts w:ascii="Calibri" w:eastAsia="Times New Roman" w:hAnsi="Calibri" w:cs="Calibri"/>
                <w:b/>
                <w:bCs/>
                <w:color w:val="000000"/>
                <w:sz w:val="24"/>
                <w:szCs w:val="24"/>
                <w:lang w:eastAsia="en-GB"/>
              </w:rPr>
            </w:pPr>
            <w:r w:rsidRPr="00B058D7">
              <w:rPr>
                <w:rFonts w:ascii="Calibri" w:eastAsia="Times New Roman" w:hAnsi="Calibri" w:cs="Calibri"/>
                <w:b/>
                <w:bCs/>
                <w:color w:val="000000"/>
                <w:sz w:val="24"/>
                <w:szCs w:val="24"/>
                <w:lang w:eastAsia="en-GB"/>
              </w:rPr>
              <w:t>Effect of council tax changes</w:t>
            </w:r>
          </w:p>
        </w:tc>
        <w:tc>
          <w:tcPr>
            <w:tcW w:w="11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2DFC24FD" w14:textId="77777777" w:rsidR="00240C02" w:rsidRPr="00B058D7" w:rsidRDefault="00240C02" w:rsidP="0047065A">
            <w:pPr>
              <w:spacing w:after="0" w:line="240" w:lineRule="auto"/>
              <w:rPr>
                <w:rFonts w:ascii="Calibri" w:eastAsia="Times New Roman" w:hAnsi="Calibri" w:cs="Calibri"/>
                <w:b/>
                <w:bCs/>
                <w:color w:val="000000"/>
                <w:sz w:val="24"/>
                <w:szCs w:val="24"/>
                <w:lang w:eastAsia="en-GB"/>
              </w:rPr>
            </w:pPr>
            <w:r w:rsidRPr="00B058D7">
              <w:rPr>
                <w:rFonts w:ascii="Calibri" w:hAnsi="Calibri" w:cs="Calibri"/>
                <w:b/>
                <w:sz w:val="24"/>
                <w:szCs w:val="24"/>
              </w:rPr>
              <w:t>2022/23 (£m)</w:t>
            </w:r>
          </w:p>
        </w:tc>
        <w:tc>
          <w:tcPr>
            <w:tcW w:w="11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3D23C23F" w14:textId="77777777" w:rsidR="00240C02" w:rsidRPr="00B058D7" w:rsidRDefault="00240C02" w:rsidP="0047065A">
            <w:pPr>
              <w:spacing w:after="0" w:line="240" w:lineRule="auto"/>
              <w:rPr>
                <w:rFonts w:ascii="Calibri" w:hAnsi="Calibri" w:cs="Calibri"/>
                <w:b/>
                <w:sz w:val="24"/>
                <w:szCs w:val="24"/>
              </w:rPr>
            </w:pPr>
            <w:r w:rsidRPr="00B058D7">
              <w:rPr>
                <w:rFonts w:ascii="Calibri" w:hAnsi="Calibri" w:cs="Calibri"/>
                <w:b/>
                <w:sz w:val="24"/>
                <w:szCs w:val="24"/>
              </w:rPr>
              <w:t>2023/24</w:t>
            </w:r>
          </w:p>
          <w:p w14:paraId="1FDFB78A" w14:textId="77777777" w:rsidR="00240C02" w:rsidRPr="00B058D7" w:rsidRDefault="00240C02" w:rsidP="0047065A">
            <w:pPr>
              <w:spacing w:after="0" w:line="240" w:lineRule="auto"/>
              <w:rPr>
                <w:rFonts w:ascii="Calibri" w:hAnsi="Calibri" w:cs="Calibri"/>
                <w:b/>
                <w:sz w:val="24"/>
                <w:szCs w:val="24"/>
              </w:rPr>
            </w:pPr>
            <w:r w:rsidRPr="00B058D7">
              <w:rPr>
                <w:rFonts w:ascii="Calibri" w:hAnsi="Calibri" w:cs="Calibri"/>
                <w:b/>
                <w:sz w:val="24"/>
                <w:szCs w:val="24"/>
              </w:rPr>
              <w:t>(£m)</w:t>
            </w:r>
          </w:p>
        </w:tc>
        <w:tc>
          <w:tcPr>
            <w:tcW w:w="116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6490FC00" w14:textId="77777777" w:rsidR="00240C02" w:rsidRPr="00B058D7" w:rsidRDefault="00240C02" w:rsidP="0047065A">
            <w:pPr>
              <w:spacing w:after="0" w:line="240" w:lineRule="auto"/>
              <w:rPr>
                <w:rFonts w:ascii="Calibri" w:eastAsia="Times New Roman" w:hAnsi="Calibri" w:cs="Calibri"/>
                <w:b/>
                <w:bCs/>
                <w:color w:val="000000"/>
                <w:sz w:val="24"/>
                <w:szCs w:val="24"/>
                <w:lang w:eastAsia="en-GB"/>
              </w:rPr>
            </w:pPr>
            <w:r w:rsidRPr="00B058D7">
              <w:rPr>
                <w:rFonts w:ascii="Calibri" w:hAnsi="Calibri" w:cs="Calibri"/>
                <w:b/>
                <w:sz w:val="24"/>
                <w:szCs w:val="24"/>
              </w:rPr>
              <w:t>2024/25 (£m)</w:t>
            </w:r>
          </w:p>
        </w:tc>
        <w:tc>
          <w:tcPr>
            <w:tcW w:w="11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29208828" w14:textId="77777777" w:rsidR="00240C02" w:rsidRPr="00B058D7" w:rsidRDefault="00240C02" w:rsidP="0047065A">
            <w:pPr>
              <w:spacing w:after="0" w:line="240" w:lineRule="auto"/>
              <w:rPr>
                <w:rFonts w:ascii="Calibri" w:eastAsia="Times New Roman" w:hAnsi="Calibri" w:cs="Calibri"/>
                <w:b/>
                <w:bCs/>
                <w:color w:val="000000"/>
                <w:sz w:val="24"/>
                <w:szCs w:val="24"/>
                <w:lang w:eastAsia="en-GB"/>
              </w:rPr>
            </w:pPr>
            <w:r w:rsidRPr="00B058D7">
              <w:rPr>
                <w:rFonts w:ascii="Calibri" w:hAnsi="Calibri" w:cs="Calibri"/>
                <w:b/>
                <w:sz w:val="24"/>
                <w:szCs w:val="24"/>
              </w:rPr>
              <w:t>2025/26 (£m)</w:t>
            </w:r>
          </w:p>
        </w:tc>
        <w:tc>
          <w:tcPr>
            <w:tcW w:w="116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0" w:type="dxa"/>
            </w:tcMar>
            <w:vAlign w:val="center"/>
            <w:hideMark/>
          </w:tcPr>
          <w:p w14:paraId="60143F8B" w14:textId="77777777" w:rsidR="00240C02" w:rsidRPr="00B058D7" w:rsidRDefault="00240C02" w:rsidP="0047065A">
            <w:pPr>
              <w:spacing w:after="0" w:line="240" w:lineRule="auto"/>
              <w:rPr>
                <w:rFonts w:ascii="Calibri" w:eastAsia="Times New Roman" w:hAnsi="Calibri" w:cs="Calibri"/>
                <w:b/>
                <w:bCs/>
                <w:color w:val="000000"/>
                <w:sz w:val="24"/>
                <w:szCs w:val="24"/>
                <w:lang w:eastAsia="en-GB"/>
              </w:rPr>
            </w:pPr>
            <w:r w:rsidRPr="00B058D7">
              <w:rPr>
                <w:rFonts w:ascii="Calibri" w:eastAsia="Times New Roman" w:hAnsi="Calibri" w:cs="Calibri"/>
                <w:b/>
                <w:bCs/>
                <w:color w:val="000000"/>
                <w:sz w:val="24"/>
                <w:szCs w:val="24"/>
                <w:lang w:eastAsia="en-GB"/>
              </w:rPr>
              <w:t>MTFP</w:t>
            </w:r>
            <w:r w:rsidRPr="00B058D7">
              <w:rPr>
                <w:rFonts w:ascii="Calibri" w:eastAsia="Times New Roman" w:hAnsi="Calibri" w:cs="Calibri"/>
                <w:b/>
                <w:bCs/>
                <w:color w:val="000000"/>
                <w:sz w:val="24"/>
                <w:szCs w:val="24"/>
                <w:lang w:eastAsia="en-GB"/>
              </w:rPr>
              <w:br/>
              <w:t>(£m)</w:t>
            </w:r>
          </w:p>
        </w:tc>
      </w:tr>
      <w:tr w:rsidR="00240C02" w:rsidRPr="00B058D7" w14:paraId="47264823" w14:textId="77777777" w:rsidTr="0047065A">
        <w:trPr>
          <w:trHeight w:val="300"/>
        </w:trPr>
        <w:tc>
          <w:tcPr>
            <w:tcW w:w="4057" w:type="dxa"/>
            <w:tcBorders>
              <w:top w:val="nil"/>
              <w:left w:val="single" w:sz="4" w:space="0" w:color="auto"/>
              <w:bottom w:val="single" w:sz="4" w:space="0" w:color="auto"/>
              <w:right w:val="single" w:sz="4" w:space="0" w:color="auto"/>
            </w:tcBorders>
            <w:shd w:val="clear" w:color="auto" w:fill="auto"/>
            <w:noWrap/>
            <w:tcMar>
              <w:top w:w="15" w:type="dxa"/>
              <w:left w:w="108" w:type="dxa"/>
              <w:bottom w:w="0" w:type="dxa"/>
              <w:right w:w="15" w:type="dxa"/>
            </w:tcMar>
            <w:vAlign w:val="center"/>
            <w:hideMark/>
          </w:tcPr>
          <w:p w14:paraId="5E1BADAA" w14:textId="77777777" w:rsidR="00240C02" w:rsidRPr="00B058D7" w:rsidRDefault="00240C02" w:rsidP="0047065A">
            <w:pPr>
              <w:spacing w:after="0" w:line="240" w:lineRule="auto"/>
              <w:rPr>
                <w:rFonts w:ascii="Calibri" w:eastAsia="Times New Roman" w:hAnsi="Calibri" w:cs="Calibri"/>
                <w:color w:val="000000"/>
                <w:sz w:val="24"/>
                <w:szCs w:val="24"/>
                <w:lang w:eastAsia="en-GB"/>
              </w:rPr>
            </w:pPr>
            <w:r w:rsidRPr="00B058D7">
              <w:rPr>
                <w:rFonts w:ascii="Calibri" w:eastAsia="Times New Roman" w:hAnsi="Calibri" w:cs="Calibri"/>
                <w:color w:val="000000"/>
                <w:sz w:val="24"/>
                <w:szCs w:val="24"/>
                <w:lang w:eastAsia="en-GB"/>
              </w:rPr>
              <w:t>Additional income from 1.94% increase in all years</w:t>
            </w:r>
          </w:p>
        </w:tc>
        <w:tc>
          <w:tcPr>
            <w:tcW w:w="1162"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66E24339" w14:textId="77777777" w:rsidR="00240C02" w:rsidRPr="00B058D7" w:rsidRDefault="00240C02" w:rsidP="0047065A">
            <w:pPr>
              <w:spacing w:after="0" w:line="240" w:lineRule="auto"/>
              <w:jc w:val="right"/>
              <w:rPr>
                <w:rFonts w:ascii="Calibri" w:eastAsia="Times New Roman" w:hAnsi="Calibri" w:cs="Calibri"/>
                <w:color w:val="000000"/>
                <w:sz w:val="24"/>
                <w:szCs w:val="24"/>
                <w:lang w:eastAsia="en-GB"/>
              </w:rPr>
            </w:pPr>
            <w:r w:rsidRPr="00B058D7">
              <w:rPr>
                <w:rFonts w:ascii="Calibri" w:eastAsia="Times New Roman" w:hAnsi="Calibri" w:cs="Calibri"/>
                <w:color w:val="000000"/>
                <w:sz w:val="24"/>
                <w:szCs w:val="24"/>
                <w:lang w:eastAsia="en-GB"/>
              </w:rPr>
              <w:t xml:space="preserve">0.146 </w:t>
            </w:r>
          </w:p>
        </w:tc>
        <w:tc>
          <w:tcPr>
            <w:tcW w:w="1162"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1139D433" w14:textId="77777777" w:rsidR="00240C02" w:rsidRPr="00B058D7" w:rsidRDefault="00240C02" w:rsidP="0047065A">
            <w:pPr>
              <w:spacing w:after="0" w:line="240" w:lineRule="auto"/>
              <w:jc w:val="right"/>
              <w:rPr>
                <w:rFonts w:ascii="Calibri" w:eastAsia="Times New Roman" w:hAnsi="Calibri" w:cs="Calibri"/>
                <w:color w:val="000000"/>
                <w:sz w:val="24"/>
                <w:szCs w:val="24"/>
                <w:lang w:eastAsia="en-GB"/>
              </w:rPr>
            </w:pPr>
            <w:r w:rsidRPr="00B058D7">
              <w:rPr>
                <w:rFonts w:ascii="Calibri" w:eastAsia="Times New Roman" w:hAnsi="Calibri" w:cs="Calibri"/>
                <w:color w:val="000000"/>
                <w:sz w:val="24"/>
                <w:szCs w:val="24"/>
                <w:lang w:eastAsia="en-GB"/>
              </w:rPr>
              <w:t xml:space="preserve">0.152 </w:t>
            </w:r>
          </w:p>
        </w:tc>
        <w:tc>
          <w:tcPr>
            <w:tcW w:w="1163"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728E70FB" w14:textId="77777777" w:rsidR="00240C02" w:rsidRPr="00B058D7" w:rsidRDefault="00240C02" w:rsidP="0047065A">
            <w:pPr>
              <w:spacing w:after="0" w:line="240" w:lineRule="auto"/>
              <w:jc w:val="right"/>
              <w:rPr>
                <w:rFonts w:ascii="Calibri" w:eastAsia="Times New Roman" w:hAnsi="Calibri" w:cs="Calibri"/>
                <w:color w:val="000000"/>
                <w:sz w:val="24"/>
                <w:szCs w:val="24"/>
                <w:lang w:eastAsia="en-GB"/>
              </w:rPr>
            </w:pPr>
            <w:r w:rsidRPr="00B058D7">
              <w:rPr>
                <w:rFonts w:ascii="Calibri" w:eastAsia="Times New Roman" w:hAnsi="Calibri" w:cs="Calibri"/>
                <w:color w:val="000000"/>
                <w:sz w:val="24"/>
                <w:szCs w:val="24"/>
                <w:lang w:eastAsia="en-GB"/>
              </w:rPr>
              <w:t xml:space="preserve">0.158 </w:t>
            </w:r>
          </w:p>
        </w:tc>
        <w:tc>
          <w:tcPr>
            <w:tcW w:w="1162"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5D913FD3" w14:textId="77777777" w:rsidR="00240C02" w:rsidRPr="00B058D7" w:rsidRDefault="00240C02" w:rsidP="0047065A">
            <w:pPr>
              <w:spacing w:after="0" w:line="240" w:lineRule="auto"/>
              <w:jc w:val="right"/>
              <w:rPr>
                <w:rFonts w:ascii="Calibri" w:eastAsia="Times New Roman" w:hAnsi="Calibri" w:cs="Calibri"/>
                <w:color w:val="000000"/>
                <w:sz w:val="24"/>
                <w:szCs w:val="24"/>
                <w:lang w:eastAsia="en-GB"/>
              </w:rPr>
            </w:pPr>
            <w:r w:rsidRPr="00B058D7">
              <w:rPr>
                <w:rFonts w:ascii="Calibri" w:eastAsia="Times New Roman" w:hAnsi="Calibri" w:cs="Calibri"/>
                <w:color w:val="000000"/>
                <w:sz w:val="24"/>
                <w:szCs w:val="24"/>
                <w:lang w:eastAsia="en-GB"/>
              </w:rPr>
              <w:t xml:space="preserve">0.165 </w:t>
            </w:r>
          </w:p>
        </w:tc>
        <w:tc>
          <w:tcPr>
            <w:tcW w:w="1163" w:type="dxa"/>
            <w:tcBorders>
              <w:top w:val="nil"/>
              <w:left w:val="nil"/>
              <w:bottom w:val="single" w:sz="4" w:space="0" w:color="auto"/>
              <w:right w:val="single" w:sz="4" w:space="0" w:color="auto"/>
            </w:tcBorders>
            <w:shd w:val="clear" w:color="auto" w:fill="auto"/>
            <w:noWrap/>
            <w:tcMar>
              <w:top w:w="15" w:type="dxa"/>
              <w:left w:w="108" w:type="dxa"/>
              <w:bottom w:w="0" w:type="dxa"/>
              <w:right w:w="108" w:type="dxa"/>
            </w:tcMar>
            <w:vAlign w:val="center"/>
            <w:hideMark/>
          </w:tcPr>
          <w:p w14:paraId="284A5832" w14:textId="77777777" w:rsidR="00240C02" w:rsidRPr="00B058D7" w:rsidRDefault="00240C02" w:rsidP="0047065A">
            <w:pPr>
              <w:spacing w:after="0" w:line="240" w:lineRule="auto"/>
              <w:jc w:val="right"/>
              <w:rPr>
                <w:rFonts w:ascii="Calibri" w:eastAsia="Times New Roman" w:hAnsi="Calibri" w:cs="Calibri"/>
                <w:b/>
                <w:bCs/>
                <w:color w:val="000000"/>
                <w:sz w:val="24"/>
                <w:szCs w:val="24"/>
                <w:lang w:eastAsia="en-GB"/>
              </w:rPr>
            </w:pPr>
            <w:r w:rsidRPr="00B058D7">
              <w:rPr>
                <w:rFonts w:ascii="Calibri" w:eastAsia="Times New Roman" w:hAnsi="Calibri" w:cs="Calibri"/>
                <w:b/>
                <w:bCs/>
                <w:color w:val="000000"/>
                <w:sz w:val="24"/>
                <w:szCs w:val="24"/>
                <w:lang w:eastAsia="en-GB"/>
              </w:rPr>
              <w:t xml:space="preserve">0.621 </w:t>
            </w:r>
          </w:p>
        </w:tc>
      </w:tr>
    </w:tbl>
    <w:p w14:paraId="22AA359E" w14:textId="77777777" w:rsidR="00240C02" w:rsidRPr="00B058D7" w:rsidRDefault="00240C02" w:rsidP="00240C02">
      <w:pPr>
        <w:spacing w:after="0" w:line="240" w:lineRule="auto"/>
        <w:jc w:val="both"/>
        <w:rPr>
          <w:rFonts w:ascii="Calibri" w:hAnsi="Calibri" w:cs="Calibri"/>
          <w:sz w:val="24"/>
          <w:szCs w:val="24"/>
        </w:rPr>
      </w:pPr>
    </w:p>
    <w:p w14:paraId="76D7AC23" w14:textId="77777777" w:rsidR="00240C02" w:rsidRPr="00B058D7" w:rsidRDefault="00240C02" w:rsidP="00240C02">
      <w:pPr>
        <w:pStyle w:val="ListParagraph"/>
        <w:numPr>
          <w:ilvl w:val="0"/>
          <w:numId w:val="25"/>
        </w:numPr>
        <w:spacing w:after="0" w:line="240" w:lineRule="auto"/>
        <w:jc w:val="both"/>
        <w:rPr>
          <w:rFonts w:ascii="Calibri" w:hAnsi="Calibri" w:cs="Calibri"/>
          <w:b/>
          <w:sz w:val="24"/>
          <w:szCs w:val="24"/>
          <w:u w:val="single"/>
        </w:rPr>
      </w:pPr>
      <w:r w:rsidRPr="00B058D7">
        <w:rPr>
          <w:rFonts w:ascii="Calibri" w:hAnsi="Calibri" w:cs="Calibri"/>
          <w:b/>
          <w:sz w:val="24"/>
          <w:szCs w:val="24"/>
          <w:u w:val="single"/>
        </w:rPr>
        <w:t>New Homes Bonus (NHB)</w:t>
      </w:r>
    </w:p>
    <w:p w14:paraId="4AF3AE54" w14:textId="77777777" w:rsidR="00240C02" w:rsidRPr="00B058D7" w:rsidRDefault="00240C02" w:rsidP="00240C02">
      <w:pPr>
        <w:spacing w:after="0" w:line="240" w:lineRule="auto"/>
        <w:jc w:val="both"/>
        <w:rPr>
          <w:rFonts w:ascii="Calibri" w:hAnsi="Calibri" w:cs="Calibri"/>
          <w:sz w:val="24"/>
          <w:szCs w:val="24"/>
        </w:rPr>
      </w:pPr>
    </w:p>
    <w:p w14:paraId="0173B0D9"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New Homes Bonus (NHB) is a government grant paid to councils to incentivise local housing growth, based on the extra council tax income raised from new homes. NHB is paid to councils with growth in their housing stock above 0.4% of their existing council tax base.</w:t>
      </w:r>
    </w:p>
    <w:p w14:paraId="4E5430A0" w14:textId="77777777" w:rsidR="00240C02" w:rsidRPr="00B058D7" w:rsidRDefault="00240C02" w:rsidP="00240C02">
      <w:pPr>
        <w:spacing w:after="0" w:line="240" w:lineRule="auto"/>
        <w:jc w:val="both"/>
        <w:rPr>
          <w:rFonts w:ascii="Calibri" w:hAnsi="Calibri" w:cs="Calibri"/>
          <w:sz w:val="24"/>
          <w:szCs w:val="24"/>
        </w:rPr>
      </w:pPr>
    </w:p>
    <w:p w14:paraId="0EDA4205"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government plans to consult on the future of NHB, with a view to implementing reform in 2023/24.</w:t>
      </w:r>
    </w:p>
    <w:p w14:paraId="66237B3A" w14:textId="77777777" w:rsidR="00240C02" w:rsidRPr="00B058D7" w:rsidRDefault="00240C02" w:rsidP="00240C02">
      <w:pPr>
        <w:spacing w:after="0" w:line="240" w:lineRule="auto"/>
        <w:jc w:val="both"/>
        <w:rPr>
          <w:rFonts w:ascii="Calibri" w:hAnsi="Calibri" w:cs="Calibri"/>
          <w:sz w:val="24"/>
          <w:szCs w:val="24"/>
        </w:rPr>
      </w:pPr>
    </w:p>
    <w:p w14:paraId="7A3B4FDC"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Details of the government’s final NHB allocations for 2022/23 and the three years previous are in the table below. This includes a legacy payment for 2019/20 and a new one-year allocation for 2022/23.</w:t>
      </w:r>
    </w:p>
    <w:p w14:paraId="5073AB6C" w14:textId="77777777" w:rsidR="00240C02" w:rsidRPr="00B058D7" w:rsidRDefault="00240C02" w:rsidP="00240C02">
      <w:pPr>
        <w:spacing w:after="0" w:line="240" w:lineRule="auto"/>
        <w:jc w:val="both"/>
        <w:rPr>
          <w:rFonts w:ascii="Calibri" w:hAnsi="Calibri" w:cs="Calibri"/>
          <w:sz w:val="24"/>
          <w:szCs w:val="24"/>
        </w:rPr>
      </w:pPr>
    </w:p>
    <w:tbl>
      <w:tblPr>
        <w:tblStyle w:val="TableGrid"/>
        <w:tblW w:w="0" w:type="auto"/>
        <w:tblInd w:w="108" w:type="dxa"/>
        <w:tblLook w:val="04A0" w:firstRow="1" w:lastRow="0" w:firstColumn="1" w:lastColumn="0" w:noHBand="0" w:noVBand="1"/>
      </w:tblPr>
      <w:tblGrid>
        <w:gridCol w:w="1159"/>
        <w:gridCol w:w="1417"/>
        <w:gridCol w:w="1417"/>
        <w:gridCol w:w="1417"/>
        <w:gridCol w:w="1418"/>
      </w:tblGrid>
      <w:tr w:rsidR="00240C02" w:rsidRPr="00B058D7" w14:paraId="7BC41A4E" w14:textId="77777777" w:rsidTr="0047065A">
        <w:tc>
          <w:tcPr>
            <w:tcW w:w="1159" w:type="dxa"/>
            <w:vAlign w:val="center"/>
          </w:tcPr>
          <w:p w14:paraId="00843BDC" w14:textId="77777777" w:rsidR="00240C02" w:rsidRPr="00B058D7" w:rsidRDefault="00240C02" w:rsidP="0047065A">
            <w:pPr>
              <w:jc w:val="both"/>
              <w:rPr>
                <w:rFonts w:ascii="Calibri" w:hAnsi="Calibri" w:cs="Calibri"/>
                <w:b/>
                <w:sz w:val="24"/>
                <w:szCs w:val="24"/>
              </w:rPr>
            </w:pPr>
            <w:r w:rsidRPr="00B058D7">
              <w:rPr>
                <w:rFonts w:ascii="Calibri" w:hAnsi="Calibri" w:cs="Calibri"/>
                <w:b/>
                <w:sz w:val="24"/>
                <w:szCs w:val="24"/>
              </w:rPr>
              <w:t>Year</w:t>
            </w:r>
          </w:p>
        </w:tc>
        <w:tc>
          <w:tcPr>
            <w:tcW w:w="1417" w:type="dxa"/>
            <w:vAlign w:val="center"/>
          </w:tcPr>
          <w:p w14:paraId="6BF9106E"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2019/20</w:t>
            </w:r>
          </w:p>
          <w:p w14:paraId="4CF83DED"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(£m)</w:t>
            </w:r>
          </w:p>
        </w:tc>
        <w:tc>
          <w:tcPr>
            <w:tcW w:w="1417" w:type="dxa"/>
            <w:vAlign w:val="center"/>
          </w:tcPr>
          <w:p w14:paraId="6A6C9D1D"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2020/21 (£m)</w:t>
            </w:r>
          </w:p>
        </w:tc>
        <w:tc>
          <w:tcPr>
            <w:tcW w:w="1417" w:type="dxa"/>
          </w:tcPr>
          <w:p w14:paraId="63D45094"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2021/22 (£m)</w:t>
            </w:r>
          </w:p>
        </w:tc>
        <w:tc>
          <w:tcPr>
            <w:tcW w:w="1418" w:type="dxa"/>
            <w:vAlign w:val="center"/>
          </w:tcPr>
          <w:p w14:paraId="63241EF2" w14:textId="77777777" w:rsidR="00240C02" w:rsidRPr="00B058D7" w:rsidRDefault="00240C02" w:rsidP="0047065A">
            <w:pPr>
              <w:rPr>
                <w:rFonts w:ascii="Calibri" w:hAnsi="Calibri" w:cs="Calibri"/>
                <w:b/>
                <w:sz w:val="24"/>
                <w:szCs w:val="24"/>
              </w:rPr>
            </w:pPr>
            <w:r w:rsidRPr="00B058D7">
              <w:rPr>
                <w:rFonts w:ascii="Calibri" w:hAnsi="Calibri" w:cs="Calibri"/>
                <w:b/>
                <w:sz w:val="24"/>
                <w:szCs w:val="24"/>
              </w:rPr>
              <w:t>2022/23 (£m)</w:t>
            </w:r>
          </w:p>
        </w:tc>
      </w:tr>
      <w:tr w:rsidR="00240C02" w:rsidRPr="00B058D7" w14:paraId="5EDCCFBC" w14:textId="77777777" w:rsidTr="0047065A">
        <w:tc>
          <w:tcPr>
            <w:tcW w:w="1159" w:type="dxa"/>
            <w:vAlign w:val="center"/>
          </w:tcPr>
          <w:p w14:paraId="2D320DDC" w14:textId="77777777" w:rsidR="00240C02" w:rsidRPr="00B058D7" w:rsidRDefault="00240C02" w:rsidP="0047065A">
            <w:pPr>
              <w:jc w:val="both"/>
              <w:rPr>
                <w:rFonts w:ascii="Calibri" w:hAnsi="Calibri" w:cs="Calibri"/>
                <w:b/>
                <w:sz w:val="24"/>
                <w:szCs w:val="24"/>
              </w:rPr>
            </w:pPr>
            <w:r w:rsidRPr="00B058D7">
              <w:rPr>
                <w:rFonts w:ascii="Calibri" w:hAnsi="Calibri" w:cs="Calibri"/>
                <w:b/>
                <w:sz w:val="24"/>
                <w:szCs w:val="24"/>
              </w:rPr>
              <w:t>Total</w:t>
            </w:r>
          </w:p>
        </w:tc>
        <w:tc>
          <w:tcPr>
            <w:tcW w:w="1417" w:type="dxa"/>
          </w:tcPr>
          <w:p w14:paraId="744A7D92" w14:textId="77777777" w:rsidR="00240C02" w:rsidRPr="00B058D7" w:rsidRDefault="00240C02" w:rsidP="0047065A">
            <w:pPr>
              <w:jc w:val="right"/>
              <w:rPr>
                <w:rFonts w:ascii="Calibri" w:hAnsi="Calibri" w:cs="Calibri"/>
                <w:b/>
                <w:sz w:val="24"/>
                <w:szCs w:val="24"/>
              </w:rPr>
            </w:pPr>
            <w:r w:rsidRPr="00B058D7">
              <w:rPr>
                <w:rFonts w:ascii="Calibri" w:hAnsi="Calibri" w:cs="Calibri"/>
                <w:sz w:val="24"/>
                <w:szCs w:val="24"/>
              </w:rPr>
              <w:t>1.580</w:t>
            </w:r>
          </w:p>
        </w:tc>
        <w:tc>
          <w:tcPr>
            <w:tcW w:w="1417" w:type="dxa"/>
          </w:tcPr>
          <w:p w14:paraId="68C04345" w14:textId="77777777" w:rsidR="00240C02" w:rsidRPr="00B058D7" w:rsidRDefault="00240C02" w:rsidP="0047065A">
            <w:pPr>
              <w:jc w:val="right"/>
              <w:rPr>
                <w:rFonts w:ascii="Calibri" w:hAnsi="Calibri" w:cs="Calibri"/>
                <w:b/>
                <w:sz w:val="24"/>
                <w:szCs w:val="24"/>
              </w:rPr>
            </w:pPr>
            <w:r w:rsidRPr="00B058D7">
              <w:rPr>
                <w:rFonts w:ascii="Calibri" w:hAnsi="Calibri" w:cs="Calibri"/>
                <w:sz w:val="24"/>
                <w:szCs w:val="24"/>
              </w:rPr>
              <w:t>1.741</w:t>
            </w:r>
          </w:p>
        </w:tc>
        <w:tc>
          <w:tcPr>
            <w:tcW w:w="1417" w:type="dxa"/>
          </w:tcPr>
          <w:p w14:paraId="32E1AA60" w14:textId="77777777" w:rsidR="00240C02" w:rsidRPr="00B058D7" w:rsidRDefault="00240C02" w:rsidP="0047065A">
            <w:pPr>
              <w:jc w:val="right"/>
              <w:rPr>
                <w:rFonts w:ascii="Calibri" w:hAnsi="Calibri" w:cs="Calibri"/>
                <w:b/>
                <w:sz w:val="24"/>
                <w:szCs w:val="24"/>
              </w:rPr>
            </w:pPr>
            <w:r w:rsidRPr="00B058D7">
              <w:rPr>
                <w:rFonts w:ascii="Calibri" w:hAnsi="Calibri" w:cs="Calibri"/>
                <w:sz w:val="24"/>
                <w:szCs w:val="24"/>
              </w:rPr>
              <w:t>1.187</w:t>
            </w:r>
          </w:p>
        </w:tc>
        <w:tc>
          <w:tcPr>
            <w:tcW w:w="1418" w:type="dxa"/>
            <w:vAlign w:val="center"/>
          </w:tcPr>
          <w:p w14:paraId="1651E577" w14:textId="77777777" w:rsidR="00240C02" w:rsidRPr="00B058D7" w:rsidRDefault="00240C02" w:rsidP="0047065A">
            <w:pPr>
              <w:jc w:val="right"/>
              <w:rPr>
                <w:rFonts w:ascii="Calibri" w:hAnsi="Calibri" w:cs="Calibri"/>
                <w:sz w:val="24"/>
                <w:szCs w:val="24"/>
              </w:rPr>
            </w:pPr>
            <w:r w:rsidRPr="00B058D7">
              <w:rPr>
                <w:rFonts w:ascii="Calibri" w:hAnsi="Calibri" w:cs="Calibri"/>
                <w:sz w:val="24"/>
                <w:szCs w:val="24"/>
              </w:rPr>
              <w:t>1.573</w:t>
            </w:r>
          </w:p>
        </w:tc>
      </w:tr>
    </w:tbl>
    <w:p w14:paraId="581A4067" w14:textId="77777777" w:rsidR="00240C02" w:rsidRPr="00B058D7" w:rsidRDefault="00240C02" w:rsidP="00240C02">
      <w:pPr>
        <w:spacing w:after="0" w:line="240" w:lineRule="auto"/>
        <w:jc w:val="both"/>
        <w:rPr>
          <w:rFonts w:ascii="Calibri" w:hAnsi="Calibri" w:cs="Calibri"/>
          <w:sz w:val="24"/>
          <w:szCs w:val="24"/>
        </w:rPr>
      </w:pPr>
    </w:p>
    <w:p w14:paraId="022598D9"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NHB is not ring-fenced, and thus can be used to fund either revenue or capital expenditure. To-date, the council has not needed to budget to use NHB to fund its General Fund revenue expenditure, as budgeted funding from council tax, business rates and other sources has been sufficient.</w:t>
      </w:r>
    </w:p>
    <w:p w14:paraId="77655FBF" w14:textId="77777777" w:rsidR="00240C02" w:rsidRPr="00B058D7" w:rsidRDefault="00240C02" w:rsidP="00240C02">
      <w:pPr>
        <w:spacing w:after="0" w:line="240" w:lineRule="auto"/>
        <w:jc w:val="both"/>
        <w:rPr>
          <w:rFonts w:ascii="Calibri" w:hAnsi="Calibri" w:cs="Calibri"/>
          <w:sz w:val="24"/>
          <w:szCs w:val="24"/>
        </w:rPr>
      </w:pPr>
    </w:p>
    <w:p w14:paraId="071714F5"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lastRenderedPageBreak/>
        <w:t>In previous years, NHB has been used to fund key regeneration projects. This is expected to continue. As capital resources are scarce, the termination of multi-year payments on new NHB allocations will have significant impact on capital resources.</w:t>
      </w:r>
    </w:p>
    <w:p w14:paraId="1B8BBB12" w14:textId="77777777" w:rsidR="00240C02" w:rsidRPr="00B058D7" w:rsidRDefault="00240C02" w:rsidP="00240C02">
      <w:pPr>
        <w:spacing w:after="0" w:line="240" w:lineRule="auto"/>
        <w:jc w:val="both"/>
        <w:rPr>
          <w:rFonts w:ascii="Calibri" w:hAnsi="Calibri" w:cs="Calibri"/>
          <w:sz w:val="24"/>
          <w:szCs w:val="24"/>
        </w:rPr>
      </w:pPr>
    </w:p>
    <w:p w14:paraId="5A9460A1"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2019/20 to 2022/23 MTFP approved by Council on 9 March 2019 proposed to allocate 50% of NHB receipts to reserves and 50% for the capital financing of assets with lives of less than 10 years (short-life assets). It is intended that this policy will continue.</w:t>
      </w:r>
    </w:p>
    <w:p w14:paraId="094BD815" w14:textId="77777777" w:rsidR="00240C02" w:rsidRPr="00B058D7" w:rsidRDefault="00240C02" w:rsidP="00240C02">
      <w:pPr>
        <w:spacing w:after="0" w:line="240" w:lineRule="auto"/>
        <w:jc w:val="both"/>
        <w:rPr>
          <w:rFonts w:ascii="Calibri" w:hAnsi="Calibri" w:cs="Calibri"/>
          <w:sz w:val="24"/>
          <w:szCs w:val="24"/>
        </w:rPr>
      </w:pPr>
    </w:p>
    <w:p w14:paraId="3DAD5E11"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As per section 1.2, NHB is within scope of the proposed reforms to the local government finance system. As such, councils are not expected to receive NHB in 2023/24 or future years.</w:t>
      </w:r>
    </w:p>
    <w:p w14:paraId="3EFE941C" w14:textId="77777777" w:rsidR="00240C02" w:rsidRPr="00B058D7" w:rsidRDefault="00240C02" w:rsidP="00240C02">
      <w:pPr>
        <w:spacing w:after="0" w:line="240" w:lineRule="auto"/>
        <w:jc w:val="both"/>
        <w:rPr>
          <w:rFonts w:ascii="Calibri" w:hAnsi="Calibri" w:cs="Calibri"/>
          <w:sz w:val="24"/>
          <w:szCs w:val="24"/>
        </w:rPr>
      </w:pPr>
    </w:p>
    <w:p w14:paraId="4784B928" w14:textId="77777777" w:rsidR="00240C02" w:rsidRPr="00B058D7" w:rsidRDefault="00240C02" w:rsidP="00240C02">
      <w:pPr>
        <w:pStyle w:val="ListParagraph"/>
        <w:numPr>
          <w:ilvl w:val="0"/>
          <w:numId w:val="25"/>
        </w:numPr>
        <w:spacing w:after="0" w:line="240" w:lineRule="auto"/>
        <w:jc w:val="both"/>
        <w:rPr>
          <w:rFonts w:ascii="Calibri" w:hAnsi="Calibri" w:cs="Calibri"/>
          <w:b/>
          <w:sz w:val="24"/>
          <w:szCs w:val="24"/>
          <w:u w:val="single"/>
        </w:rPr>
      </w:pPr>
      <w:r w:rsidRPr="00B058D7">
        <w:rPr>
          <w:rFonts w:ascii="Calibri" w:hAnsi="Calibri" w:cs="Calibri"/>
          <w:b/>
          <w:sz w:val="24"/>
          <w:szCs w:val="24"/>
          <w:u w:val="single"/>
        </w:rPr>
        <w:t>Income from Fees and Charges</w:t>
      </w:r>
    </w:p>
    <w:p w14:paraId="49C01C35" w14:textId="77777777" w:rsidR="00240C02" w:rsidRPr="00B058D7" w:rsidRDefault="00240C02" w:rsidP="00240C02">
      <w:pPr>
        <w:spacing w:after="0" w:line="240" w:lineRule="auto"/>
        <w:jc w:val="both"/>
        <w:rPr>
          <w:rFonts w:ascii="Calibri" w:hAnsi="Calibri" w:cs="Calibri"/>
          <w:sz w:val="24"/>
          <w:szCs w:val="24"/>
        </w:rPr>
      </w:pPr>
    </w:p>
    <w:p w14:paraId="6A06ED93"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 xml:space="preserve">The council’s income from fees and charges for statutory and discretionary services is an essential part of the council’s General Fund revenue budget. Section 93 (Power to charge for discretionary services) of the </w:t>
      </w:r>
      <w:r w:rsidRPr="00B058D7">
        <w:rPr>
          <w:rFonts w:ascii="Calibri" w:hAnsi="Calibri" w:cs="Calibri"/>
          <w:i/>
          <w:sz w:val="24"/>
          <w:szCs w:val="24"/>
        </w:rPr>
        <w:t>Local Government Act 2003</w:t>
      </w:r>
      <w:r w:rsidRPr="00B058D7">
        <w:rPr>
          <w:rFonts w:ascii="Calibri" w:hAnsi="Calibri" w:cs="Calibri"/>
          <w:sz w:val="24"/>
          <w:szCs w:val="24"/>
        </w:rPr>
        <w:t xml:space="preserve"> requires charges to be set such that taking one financial year with another, the income from charges for a service does not exceed its costs of provision.</w:t>
      </w:r>
    </w:p>
    <w:p w14:paraId="26D515D1" w14:textId="77777777" w:rsidR="00240C02" w:rsidRPr="00B058D7" w:rsidRDefault="00240C02" w:rsidP="00240C02">
      <w:pPr>
        <w:spacing w:after="0" w:line="240" w:lineRule="auto"/>
        <w:jc w:val="both"/>
        <w:rPr>
          <w:rFonts w:ascii="Calibri" w:hAnsi="Calibri" w:cs="Calibri"/>
          <w:sz w:val="24"/>
          <w:szCs w:val="24"/>
        </w:rPr>
      </w:pPr>
    </w:p>
    <w:p w14:paraId="57B2BE9A"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Discretionary services are those for which the council has the power, but not duty, to provide; though also include additions or enhancements to statutory services that the council provides above standards legislated for.</w:t>
      </w:r>
    </w:p>
    <w:p w14:paraId="7F470550" w14:textId="77777777" w:rsidR="00240C02" w:rsidRPr="00B058D7" w:rsidRDefault="00240C02" w:rsidP="00240C02">
      <w:pPr>
        <w:spacing w:after="0" w:line="240" w:lineRule="auto"/>
        <w:jc w:val="both"/>
        <w:rPr>
          <w:rFonts w:ascii="Calibri" w:hAnsi="Calibri" w:cs="Calibri"/>
          <w:sz w:val="24"/>
          <w:szCs w:val="24"/>
        </w:rPr>
      </w:pPr>
    </w:p>
    <w:p w14:paraId="62A3D96D"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Action Plan to the Commercial Strategy approved at Policy and Finance Committee on 27 January 2022 set the expectation that new areas for charging and understanding price elasticity of demand on existing charges would be reviewed to ensure that discretionary charges are set at the right levels and for the right activities. The council should ensure that fees and charges for discretionary services are set which:</w:t>
      </w:r>
    </w:p>
    <w:p w14:paraId="42D9251B" w14:textId="77777777" w:rsidR="00240C02" w:rsidRPr="00B058D7" w:rsidRDefault="00240C02" w:rsidP="00240C02">
      <w:pPr>
        <w:spacing w:after="0" w:line="240" w:lineRule="auto"/>
        <w:jc w:val="both"/>
        <w:rPr>
          <w:rFonts w:ascii="Calibri" w:hAnsi="Calibri" w:cs="Calibri"/>
          <w:sz w:val="24"/>
          <w:szCs w:val="24"/>
        </w:rPr>
      </w:pPr>
    </w:p>
    <w:p w14:paraId="1F7155FA" w14:textId="77777777" w:rsidR="00240C02" w:rsidRPr="00B058D7" w:rsidRDefault="00240C02" w:rsidP="00B058D7">
      <w:pPr>
        <w:pStyle w:val="ListParagraph"/>
        <w:numPr>
          <w:ilvl w:val="0"/>
          <w:numId w:val="26"/>
        </w:numPr>
        <w:spacing w:after="0" w:line="240" w:lineRule="auto"/>
        <w:ind w:left="284" w:hanging="284"/>
        <w:jc w:val="both"/>
        <w:rPr>
          <w:rFonts w:ascii="Calibri" w:hAnsi="Calibri" w:cs="Calibri"/>
          <w:sz w:val="24"/>
          <w:szCs w:val="24"/>
        </w:rPr>
      </w:pPr>
      <w:r w:rsidRPr="00B058D7">
        <w:rPr>
          <w:rFonts w:ascii="Calibri" w:hAnsi="Calibri" w:cs="Calibri"/>
          <w:sz w:val="24"/>
          <w:szCs w:val="24"/>
        </w:rPr>
        <w:t>ensure the maximum revenues possible;</w:t>
      </w:r>
    </w:p>
    <w:p w14:paraId="59FC1124" w14:textId="77777777" w:rsidR="00240C02" w:rsidRPr="00B058D7" w:rsidRDefault="00240C02" w:rsidP="00B058D7">
      <w:pPr>
        <w:pStyle w:val="ListParagraph"/>
        <w:numPr>
          <w:ilvl w:val="0"/>
          <w:numId w:val="26"/>
        </w:numPr>
        <w:spacing w:after="0" w:line="240" w:lineRule="auto"/>
        <w:ind w:left="284" w:hanging="284"/>
        <w:jc w:val="both"/>
        <w:rPr>
          <w:rFonts w:ascii="Calibri" w:hAnsi="Calibri" w:cs="Calibri"/>
          <w:sz w:val="24"/>
          <w:szCs w:val="24"/>
        </w:rPr>
      </w:pPr>
      <w:r w:rsidRPr="00B058D7">
        <w:rPr>
          <w:rFonts w:ascii="Calibri" w:hAnsi="Calibri" w:cs="Calibri"/>
          <w:sz w:val="24"/>
          <w:szCs w:val="24"/>
        </w:rPr>
        <w:t>are allowed by the council’s Corporate Fees and Charges Policy; and</w:t>
      </w:r>
    </w:p>
    <w:p w14:paraId="362A6A32" w14:textId="77777777" w:rsidR="00240C02" w:rsidRPr="00B058D7" w:rsidRDefault="00240C02" w:rsidP="00B058D7">
      <w:pPr>
        <w:pStyle w:val="ListParagraph"/>
        <w:numPr>
          <w:ilvl w:val="0"/>
          <w:numId w:val="26"/>
        </w:numPr>
        <w:spacing w:after="0" w:line="240" w:lineRule="auto"/>
        <w:ind w:left="284" w:hanging="284"/>
        <w:jc w:val="both"/>
        <w:rPr>
          <w:rFonts w:ascii="Calibri" w:hAnsi="Calibri" w:cs="Calibri"/>
          <w:sz w:val="24"/>
          <w:szCs w:val="24"/>
        </w:rPr>
      </w:pPr>
      <w:proofErr w:type="gramStart"/>
      <w:r w:rsidRPr="00B058D7">
        <w:rPr>
          <w:rFonts w:ascii="Calibri" w:hAnsi="Calibri" w:cs="Calibri"/>
          <w:sz w:val="24"/>
          <w:szCs w:val="24"/>
        </w:rPr>
        <w:t>are</w:t>
      </w:r>
      <w:proofErr w:type="gramEnd"/>
      <w:r w:rsidRPr="00B058D7">
        <w:rPr>
          <w:rFonts w:ascii="Calibri" w:hAnsi="Calibri" w:cs="Calibri"/>
          <w:sz w:val="24"/>
          <w:szCs w:val="24"/>
        </w:rPr>
        <w:t xml:space="preserve"> socially and politically acceptable.</w:t>
      </w:r>
    </w:p>
    <w:p w14:paraId="1438CB05" w14:textId="77777777" w:rsidR="00240C02" w:rsidRPr="00B058D7" w:rsidRDefault="00240C02" w:rsidP="00240C02">
      <w:pPr>
        <w:pStyle w:val="ListParagraph"/>
        <w:spacing w:after="0" w:line="240" w:lineRule="auto"/>
        <w:jc w:val="both"/>
        <w:rPr>
          <w:rFonts w:ascii="Calibri" w:hAnsi="Calibri" w:cs="Calibri"/>
          <w:sz w:val="24"/>
          <w:szCs w:val="24"/>
        </w:rPr>
      </w:pPr>
    </w:p>
    <w:p w14:paraId="61D143E6"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As mentioned in section 1.11, the fees and charges budgets proposed for 2022/23 are at levels considered achievable. Further details on the fees and charges budgets for 2022/23 can be found in the 2022/23 proposed General Fund revenue budget report.</w:t>
      </w:r>
    </w:p>
    <w:p w14:paraId="3426BA87" w14:textId="77777777" w:rsidR="00240C02" w:rsidRPr="00B058D7" w:rsidRDefault="00240C02" w:rsidP="00240C02">
      <w:pPr>
        <w:spacing w:after="0" w:line="240" w:lineRule="auto"/>
        <w:jc w:val="both"/>
        <w:rPr>
          <w:rFonts w:ascii="Calibri" w:hAnsi="Calibri" w:cs="Calibri"/>
          <w:sz w:val="24"/>
          <w:szCs w:val="24"/>
        </w:rPr>
      </w:pPr>
    </w:p>
    <w:p w14:paraId="4CCE9D11"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The table in section 1.10 identifies further fees and charges income as key to bridging the council’s funding gap. It is anticipated that new annual income of £0.200m will be generated by delivering the Commercial Strategy. This may be by stretching existing fees and charges income targets, new income streams, and/or a combination of both.</w:t>
      </w:r>
    </w:p>
    <w:p w14:paraId="2D6C6EB7" w14:textId="77777777" w:rsidR="00240C02" w:rsidRPr="00B058D7" w:rsidRDefault="00240C02" w:rsidP="00240C02">
      <w:pPr>
        <w:autoSpaceDE w:val="0"/>
        <w:autoSpaceDN w:val="0"/>
        <w:adjustRightInd w:val="0"/>
        <w:spacing w:after="0" w:line="240" w:lineRule="auto"/>
        <w:jc w:val="both"/>
        <w:rPr>
          <w:rFonts w:ascii="Calibri" w:hAnsi="Calibri" w:cs="Calibri"/>
          <w:sz w:val="24"/>
          <w:szCs w:val="24"/>
        </w:rPr>
      </w:pPr>
    </w:p>
    <w:bookmarkEnd w:id="2"/>
    <w:p w14:paraId="0138FA47" w14:textId="77777777" w:rsidR="00240C02" w:rsidRPr="00B058D7" w:rsidRDefault="00240C02" w:rsidP="00240C02">
      <w:pPr>
        <w:pStyle w:val="ListParagraph"/>
        <w:numPr>
          <w:ilvl w:val="0"/>
          <w:numId w:val="25"/>
        </w:numPr>
        <w:spacing w:after="0" w:line="240" w:lineRule="auto"/>
        <w:jc w:val="both"/>
        <w:rPr>
          <w:rFonts w:ascii="Calibri" w:hAnsi="Calibri" w:cs="Calibri"/>
          <w:b/>
          <w:sz w:val="24"/>
          <w:szCs w:val="24"/>
          <w:u w:val="single"/>
        </w:rPr>
      </w:pPr>
      <w:r w:rsidRPr="00B058D7">
        <w:rPr>
          <w:rFonts w:ascii="Calibri" w:hAnsi="Calibri" w:cs="Calibri"/>
          <w:b/>
          <w:sz w:val="24"/>
          <w:szCs w:val="24"/>
          <w:u w:val="single"/>
        </w:rPr>
        <w:t>Reserves and Balances</w:t>
      </w:r>
    </w:p>
    <w:p w14:paraId="01E615CB" w14:textId="77777777" w:rsidR="00240C02" w:rsidRPr="00B058D7" w:rsidRDefault="00240C02" w:rsidP="00240C02">
      <w:pPr>
        <w:pStyle w:val="2Paragraphs"/>
        <w:rPr>
          <w:rFonts w:ascii="Calibri" w:hAnsi="Calibri" w:cs="Calibri"/>
        </w:rPr>
      </w:pPr>
    </w:p>
    <w:p w14:paraId="72DEAF5D" w14:textId="77777777" w:rsidR="00240C02" w:rsidRPr="00B058D7" w:rsidRDefault="00240C02" w:rsidP="00240C02">
      <w:pPr>
        <w:pStyle w:val="2Paragraphs"/>
        <w:rPr>
          <w:rFonts w:ascii="Calibri" w:hAnsi="Calibri" w:cs="Calibri"/>
        </w:rPr>
      </w:pPr>
      <w:r w:rsidRPr="00B058D7">
        <w:rPr>
          <w:rFonts w:ascii="Calibri" w:hAnsi="Calibri" w:cs="Calibri"/>
        </w:rPr>
        <w:t xml:space="preserve">Section 25 (Budget calculations: report on robustness of estimates </w:t>
      </w:r>
      <w:proofErr w:type="spellStart"/>
      <w:r w:rsidRPr="00B058D7">
        <w:rPr>
          <w:rFonts w:ascii="Calibri" w:hAnsi="Calibri" w:cs="Calibri"/>
        </w:rPr>
        <w:t>etc</w:t>
      </w:r>
      <w:proofErr w:type="spellEnd"/>
      <w:r w:rsidRPr="00B058D7">
        <w:rPr>
          <w:rFonts w:ascii="Calibri" w:hAnsi="Calibri" w:cs="Calibri"/>
        </w:rPr>
        <w:t xml:space="preserve">) of the </w:t>
      </w:r>
      <w:r w:rsidRPr="00B058D7">
        <w:rPr>
          <w:rFonts w:ascii="Calibri" w:hAnsi="Calibri" w:cs="Calibri"/>
          <w:i/>
        </w:rPr>
        <w:t>Local Government Act 2003</w:t>
      </w:r>
      <w:r w:rsidRPr="00B058D7">
        <w:rPr>
          <w:rFonts w:ascii="Calibri" w:hAnsi="Calibri" w:cs="Calibri"/>
        </w:rPr>
        <w:t xml:space="preserve"> requires local authority chief finance officers (Section 151 officers) to report on the adequacy of financial reserves in the council’s proposed budget and robustness of estimates made.</w:t>
      </w:r>
    </w:p>
    <w:p w14:paraId="63FA64F9" w14:textId="77777777" w:rsidR="00240C02" w:rsidRPr="00B058D7" w:rsidRDefault="00240C02" w:rsidP="00240C02">
      <w:pPr>
        <w:pStyle w:val="2Paragraphs"/>
        <w:ind w:left="720"/>
        <w:rPr>
          <w:rFonts w:ascii="Calibri" w:hAnsi="Calibri" w:cs="Calibri"/>
        </w:rPr>
      </w:pPr>
    </w:p>
    <w:p w14:paraId="1800A26A" w14:textId="77777777" w:rsidR="00240C02" w:rsidRPr="00B058D7" w:rsidRDefault="00240C02" w:rsidP="00240C02">
      <w:pPr>
        <w:pStyle w:val="2Paragraphs"/>
        <w:rPr>
          <w:rFonts w:ascii="Calibri" w:hAnsi="Calibri" w:cs="Calibri"/>
        </w:rPr>
      </w:pPr>
      <w:r w:rsidRPr="00B058D7">
        <w:rPr>
          <w:rFonts w:ascii="Calibri" w:hAnsi="Calibri" w:cs="Calibri"/>
        </w:rPr>
        <w:lastRenderedPageBreak/>
        <w:t>The council has reviewed the adequacy of its useable financial reserves to ensure that these are neither too low (imprudent) or too high (</w:t>
      </w:r>
      <w:proofErr w:type="spellStart"/>
      <w:r w:rsidRPr="00B058D7">
        <w:rPr>
          <w:rFonts w:ascii="Calibri" w:hAnsi="Calibri" w:cs="Calibri"/>
        </w:rPr>
        <w:t>overprudent</w:t>
      </w:r>
      <w:proofErr w:type="spellEnd"/>
      <w:r w:rsidRPr="00B058D7">
        <w:rPr>
          <w:rFonts w:ascii="Calibri" w:hAnsi="Calibri" w:cs="Calibri"/>
        </w:rPr>
        <w:t>) based on their purpose and likely use.</w:t>
      </w:r>
    </w:p>
    <w:p w14:paraId="6B637CF2" w14:textId="77777777" w:rsidR="00240C02" w:rsidRPr="00B058D7" w:rsidRDefault="00240C02" w:rsidP="00240C02">
      <w:pPr>
        <w:spacing w:after="0" w:line="240" w:lineRule="auto"/>
        <w:jc w:val="both"/>
        <w:rPr>
          <w:rFonts w:ascii="Calibri" w:hAnsi="Calibri" w:cs="Calibri"/>
          <w:sz w:val="24"/>
          <w:szCs w:val="24"/>
        </w:rPr>
      </w:pPr>
    </w:p>
    <w:p w14:paraId="62BD31D8"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Council’s generally hold useable reserves for three purposes:</w:t>
      </w:r>
    </w:p>
    <w:p w14:paraId="0F2E14E5" w14:textId="77777777" w:rsidR="00240C02" w:rsidRPr="00B058D7" w:rsidRDefault="00240C02" w:rsidP="00240C02">
      <w:pPr>
        <w:spacing w:after="0" w:line="240" w:lineRule="auto"/>
        <w:jc w:val="both"/>
        <w:rPr>
          <w:rFonts w:ascii="Calibri" w:hAnsi="Calibri" w:cs="Calibri"/>
          <w:sz w:val="24"/>
          <w:szCs w:val="24"/>
        </w:rPr>
      </w:pPr>
    </w:p>
    <w:p w14:paraId="75E45E78" w14:textId="77777777" w:rsidR="00240C02" w:rsidRPr="00B058D7" w:rsidRDefault="00240C02" w:rsidP="00B058D7">
      <w:pPr>
        <w:pStyle w:val="ListParagraph"/>
        <w:numPr>
          <w:ilvl w:val="0"/>
          <w:numId w:val="11"/>
        </w:numPr>
        <w:spacing w:after="0" w:line="240" w:lineRule="auto"/>
        <w:ind w:left="284" w:hanging="284"/>
        <w:jc w:val="both"/>
        <w:rPr>
          <w:rFonts w:ascii="Calibri" w:hAnsi="Calibri" w:cs="Calibri"/>
          <w:sz w:val="24"/>
          <w:szCs w:val="24"/>
        </w:rPr>
      </w:pPr>
      <w:r w:rsidRPr="00B058D7">
        <w:rPr>
          <w:rFonts w:ascii="Calibri" w:hAnsi="Calibri" w:cs="Calibri"/>
          <w:sz w:val="24"/>
          <w:szCs w:val="24"/>
        </w:rPr>
        <w:t>as a working balance, to mitigate the impact of uneven cash flows;</w:t>
      </w:r>
    </w:p>
    <w:p w14:paraId="55091428" w14:textId="77777777" w:rsidR="00240C02" w:rsidRPr="00B058D7" w:rsidRDefault="00240C02" w:rsidP="00B058D7">
      <w:pPr>
        <w:pStyle w:val="ListParagraph"/>
        <w:numPr>
          <w:ilvl w:val="0"/>
          <w:numId w:val="11"/>
        </w:numPr>
        <w:spacing w:after="0" w:line="240" w:lineRule="auto"/>
        <w:ind w:left="284" w:hanging="284"/>
        <w:jc w:val="both"/>
        <w:rPr>
          <w:rFonts w:ascii="Calibri" w:hAnsi="Calibri" w:cs="Calibri"/>
          <w:sz w:val="24"/>
          <w:szCs w:val="24"/>
        </w:rPr>
      </w:pPr>
      <w:r w:rsidRPr="00B058D7">
        <w:rPr>
          <w:rFonts w:ascii="Calibri" w:hAnsi="Calibri" w:cs="Calibri"/>
          <w:sz w:val="24"/>
          <w:szCs w:val="24"/>
        </w:rPr>
        <w:t>as a contingency, to mitigate the impact of unexpected events or emergencies; and</w:t>
      </w:r>
    </w:p>
    <w:p w14:paraId="58573864" w14:textId="77777777" w:rsidR="00240C02" w:rsidRPr="00B058D7" w:rsidRDefault="00240C02" w:rsidP="00B058D7">
      <w:pPr>
        <w:pStyle w:val="ListParagraph"/>
        <w:numPr>
          <w:ilvl w:val="0"/>
          <w:numId w:val="11"/>
        </w:numPr>
        <w:spacing w:after="0" w:line="240" w:lineRule="auto"/>
        <w:ind w:left="284" w:hanging="284"/>
        <w:jc w:val="both"/>
        <w:rPr>
          <w:rFonts w:ascii="Calibri" w:hAnsi="Calibri" w:cs="Calibri"/>
          <w:sz w:val="24"/>
          <w:szCs w:val="24"/>
        </w:rPr>
      </w:pPr>
      <w:proofErr w:type="gramStart"/>
      <w:r w:rsidRPr="00B058D7">
        <w:rPr>
          <w:rFonts w:ascii="Calibri" w:hAnsi="Calibri" w:cs="Calibri"/>
          <w:sz w:val="24"/>
          <w:szCs w:val="24"/>
        </w:rPr>
        <w:t>as</w:t>
      </w:r>
      <w:proofErr w:type="gramEnd"/>
      <w:r w:rsidRPr="00B058D7">
        <w:rPr>
          <w:rFonts w:ascii="Calibri" w:hAnsi="Calibri" w:cs="Calibri"/>
          <w:sz w:val="24"/>
          <w:szCs w:val="24"/>
        </w:rPr>
        <w:t xml:space="preserve"> earmarked reserves, to pay for known or predicted future requirements.</w:t>
      </w:r>
    </w:p>
    <w:p w14:paraId="251B49D1" w14:textId="77777777" w:rsidR="00240C02" w:rsidRPr="00B058D7" w:rsidRDefault="00240C02" w:rsidP="00240C02">
      <w:pPr>
        <w:pStyle w:val="2Paragraphs"/>
        <w:rPr>
          <w:rFonts w:ascii="Calibri" w:hAnsi="Calibri" w:cs="Calibri"/>
        </w:rPr>
      </w:pPr>
    </w:p>
    <w:p w14:paraId="22EBA993" w14:textId="77777777" w:rsidR="00240C02" w:rsidRPr="00B058D7" w:rsidRDefault="00240C02" w:rsidP="00240C02">
      <w:pPr>
        <w:pStyle w:val="2Paragraphs"/>
        <w:rPr>
          <w:rFonts w:ascii="Calibri" w:hAnsi="Calibri" w:cs="Calibri"/>
        </w:rPr>
      </w:pPr>
      <w:r w:rsidRPr="00B058D7">
        <w:rPr>
          <w:rFonts w:ascii="Calibri" w:hAnsi="Calibri" w:cs="Calibri"/>
        </w:rPr>
        <w:t>The council’s £1.500m General Fund balance has been set aside to pay for exceptional items. Officers consistently review the appropriateness (prudence) of this amount in light of internal and external risks identified. For the council to maintain this balance, it is intended that it will only be used to fund expenditure once other appropriate reserves have been fully utilised.</w:t>
      </w:r>
    </w:p>
    <w:p w14:paraId="45D52D4A" w14:textId="77777777" w:rsidR="00240C02" w:rsidRPr="00B058D7" w:rsidRDefault="00240C02" w:rsidP="00240C02">
      <w:pPr>
        <w:spacing w:after="0" w:line="240" w:lineRule="auto"/>
        <w:jc w:val="both"/>
        <w:rPr>
          <w:rFonts w:ascii="Calibri" w:hAnsi="Calibri" w:cs="Calibri"/>
          <w:sz w:val="24"/>
          <w:szCs w:val="24"/>
        </w:rPr>
      </w:pPr>
    </w:p>
    <w:p w14:paraId="1E375543"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b/>
          <w:sz w:val="24"/>
          <w:szCs w:val="24"/>
        </w:rPr>
        <w:t>Appendix B</w:t>
      </w:r>
      <w:r w:rsidRPr="00B058D7">
        <w:rPr>
          <w:rFonts w:ascii="Calibri" w:hAnsi="Calibri" w:cs="Calibri"/>
          <w:sz w:val="24"/>
          <w:szCs w:val="24"/>
        </w:rPr>
        <w:t xml:space="preserve"> shows the balances which comprised the council’s total reserves at the end of 2020/21 and at the beginning of 2021/22. It also shows the balances expected to comprise the council’s total reserves at the end of 2021/22 and 2022/23.</w:t>
      </w:r>
    </w:p>
    <w:p w14:paraId="4BCEBBF6" w14:textId="77777777" w:rsidR="00240C02" w:rsidRPr="00B058D7" w:rsidRDefault="00240C02" w:rsidP="00240C02">
      <w:pPr>
        <w:spacing w:after="0" w:line="240" w:lineRule="auto"/>
        <w:jc w:val="both"/>
        <w:rPr>
          <w:rFonts w:ascii="Calibri" w:hAnsi="Calibri" w:cs="Calibri"/>
          <w:sz w:val="24"/>
          <w:szCs w:val="24"/>
        </w:rPr>
      </w:pPr>
    </w:p>
    <w:p w14:paraId="550DB74A"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Over the years, the council’s reserves have been used, for reasons such as to: cover the cost of one-off events not budgeted for; support and improve service delivery; and offset declining levels of income. Whilst this principle still exists, the council has set up a Medium Term Financial Plan reserve over the last two financial years, in order to mitigate future pressures based on the uncertainty over local government funding. This reserve will be released over the medium-term in order to smooth the impact of anticipated funding reductions arising from changes in the local government funding formula.</w:t>
      </w:r>
    </w:p>
    <w:p w14:paraId="0A3D7371" w14:textId="77777777" w:rsidR="00240C02" w:rsidRPr="00B058D7" w:rsidRDefault="00240C02" w:rsidP="00240C02">
      <w:pPr>
        <w:spacing w:after="0" w:line="240" w:lineRule="auto"/>
        <w:jc w:val="both"/>
        <w:rPr>
          <w:rFonts w:ascii="Calibri" w:hAnsi="Calibri" w:cs="Calibri"/>
          <w:sz w:val="24"/>
          <w:szCs w:val="24"/>
        </w:rPr>
      </w:pPr>
    </w:p>
    <w:p w14:paraId="72827C8E"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Members and officers are required to ensure the council operates as a going concern: that the council will continue to fulfil its functions for the foreseeable future. If this were not the case, for example, because of an imprudent use of council reserves, the council’s external auditors would be required to express a going concern opinion (GCO). A GCO would be the external auditor’s way of expressing significant doubt on the council’s ability to operate longer-term.</w:t>
      </w:r>
    </w:p>
    <w:p w14:paraId="12F150DE" w14:textId="77777777" w:rsidR="00240C02" w:rsidRPr="00B058D7" w:rsidRDefault="00240C02" w:rsidP="00240C02">
      <w:pPr>
        <w:spacing w:after="0" w:line="240" w:lineRule="auto"/>
        <w:jc w:val="both"/>
        <w:rPr>
          <w:rFonts w:ascii="Calibri" w:hAnsi="Calibri" w:cs="Calibri"/>
          <w:sz w:val="24"/>
          <w:szCs w:val="24"/>
        </w:rPr>
      </w:pPr>
    </w:p>
    <w:p w14:paraId="4EB82319" w14:textId="77777777" w:rsidR="00240C02" w:rsidRPr="00B058D7" w:rsidRDefault="00240C02" w:rsidP="00240C02">
      <w:pPr>
        <w:spacing w:after="0" w:line="240" w:lineRule="auto"/>
        <w:jc w:val="both"/>
        <w:rPr>
          <w:rFonts w:ascii="Calibri" w:hAnsi="Calibri" w:cs="Calibri"/>
          <w:b/>
          <w:sz w:val="24"/>
          <w:szCs w:val="24"/>
          <w:u w:val="single"/>
        </w:rPr>
      </w:pPr>
      <w:r w:rsidRPr="00B058D7">
        <w:rPr>
          <w:rFonts w:ascii="Calibri" w:hAnsi="Calibri" w:cs="Calibri"/>
          <w:b/>
          <w:sz w:val="24"/>
          <w:szCs w:val="24"/>
          <w:u w:val="single"/>
        </w:rPr>
        <w:t>ROBUSTNESS OF ESTIMATES AND ADEQUACY OF RESERVES</w:t>
      </w:r>
    </w:p>
    <w:p w14:paraId="092756BE" w14:textId="77777777" w:rsidR="00240C02" w:rsidRPr="00B058D7" w:rsidRDefault="00240C02" w:rsidP="00240C02">
      <w:pPr>
        <w:spacing w:after="0" w:line="240" w:lineRule="auto"/>
        <w:jc w:val="both"/>
        <w:rPr>
          <w:rFonts w:ascii="Calibri" w:hAnsi="Calibri" w:cs="Calibri"/>
          <w:sz w:val="24"/>
          <w:szCs w:val="24"/>
        </w:rPr>
      </w:pPr>
    </w:p>
    <w:p w14:paraId="453776A3" w14:textId="77777777" w:rsidR="00240C02" w:rsidRPr="00B058D7" w:rsidRDefault="00240C02" w:rsidP="00240C02">
      <w:pPr>
        <w:spacing w:after="0" w:line="240" w:lineRule="auto"/>
        <w:jc w:val="both"/>
        <w:rPr>
          <w:rFonts w:ascii="Calibri" w:hAnsi="Calibri" w:cs="Calibri"/>
          <w:sz w:val="24"/>
          <w:szCs w:val="24"/>
        </w:rPr>
      </w:pPr>
      <w:r w:rsidRPr="00B058D7">
        <w:rPr>
          <w:rFonts w:ascii="Calibri" w:hAnsi="Calibri" w:cs="Calibri"/>
          <w:sz w:val="24"/>
          <w:szCs w:val="24"/>
        </w:rPr>
        <w:t xml:space="preserve">The </w:t>
      </w:r>
      <w:r w:rsidRPr="00B058D7">
        <w:rPr>
          <w:rFonts w:ascii="Calibri" w:hAnsi="Calibri" w:cs="Calibri"/>
          <w:i/>
          <w:sz w:val="24"/>
          <w:szCs w:val="24"/>
        </w:rPr>
        <w:t>Local Government Act 2003</w:t>
      </w:r>
      <w:r w:rsidRPr="00B058D7">
        <w:rPr>
          <w:rFonts w:ascii="Calibri" w:hAnsi="Calibri" w:cs="Calibri"/>
          <w:sz w:val="24"/>
          <w:szCs w:val="24"/>
        </w:rPr>
        <w:t xml:space="preserve"> requires the Council’s Chief Financial Officer (Section 151 Officer) to comment on the robustness of the estimates and also on the adequacy of the proposed reserves.</w:t>
      </w:r>
    </w:p>
    <w:p w14:paraId="03D678C4" w14:textId="55E3B492" w:rsidR="00CE0225" w:rsidRPr="00B058D7" w:rsidRDefault="00CE0225" w:rsidP="00CE0225">
      <w:pPr>
        <w:spacing w:after="0" w:line="240" w:lineRule="auto"/>
        <w:jc w:val="both"/>
        <w:rPr>
          <w:rFonts w:ascii="Calibri" w:hAnsi="Calibri" w:cs="Calibri"/>
          <w:sz w:val="24"/>
          <w:szCs w:val="24"/>
        </w:rPr>
      </w:pPr>
    </w:p>
    <w:p w14:paraId="277C50B9" w14:textId="560F250E" w:rsidR="00CE0225" w:rsidRPr="00B058D7" w:rsidRDefault="001A6771" w:rsidP="00CE0225">
      <w:pPr>
        <w:spacing w:after="0" w:line="240" w:lineRule="auto"/>
        <w:jc w:val="both"/>
        <w:rPr>
          <w:rFonts w:ascii="Calibri" w:eastAsia="Times New Roman" w:hAnsi="Calibri" w:cs="Calibri"/>
          <w:bCs/>
          <w:sz w:val="24"/>
          <w:szCs w:val="24"/>
        </w:rPr>
      </w:pPr>
      <w:r w:rsidRPr="00B058D7">
        <w:rPr>
          <w:rFonts w:ascii="Calibri" w:eastAsia="Times New Roman" w:hAnsi="Calibri" w:cs="Calibri"/>
          <w:bCs/>
          <w:sz w:val="24"/>
          <w:szCs w:val="24"/>
        </w:rPr>
        <w:t xml:space="preserve">The council’s total forecast reserves and </w:t>
      </w:r>
      <w:r w:rsidR="00002E0F" w:rsidRPr="00B058D7">
        <w:rPr>
          <w:rFonts w:ascii="Calibri" w:eastAsia="Times New Roman" w:hAnsi="Calibri" w:cs="Calibri"/>
          <w:bCs/>
          <w:sz w:val="24"/>
          <w:szCs w:val="24"/>
        </w:rPr>
        <w:t xml:space="preserve">fund balance to 31 March </w:t>
      </w:r>
      <w:r w:rsidR="000B5AA7" w:rsidRPr="00B058D7">
        <w:rPr>
          <w:rFonts w:ascii="Calibri" w:eastAsia="Times New Roman" w:hAnsi="Calibri" w:cs="Calibri"/>
          <w:bCs/>
          <w:sz w:val="24"/>
          <w:szCs w:val="24"/>
        </w:rPr>
        <w:t>2023</w:t>
      </w:r>
      <w:r w:rsidR="00002E0F" w:rsidRPr="00B058D7">
        <w:rPr>
          <w:rFonts w:ascii="Calibri" w:eastAsia="Times New Roman" w:hAnsi="Calibri" w:cs="Calibri"/>
          <w:bCs/>
          <w:sz w:val="24"/>
          <w:szCs w:val="24"/>
        </w:rPr>
        <w:t xml:space="preserve"> is </w:t>
      </w:r>
      <w:r w:rsidR="000B5AA7" w:rsidRPr="00B058D7">
        <w:rPr>
          <w:rFonts w:ascii="Calibri" w:hAnsi="Calibri" w:cs="Calibri"/>
          <w:sz w:val="24"/>
          <w:szCs w:val="24"/>
        </w:rPr>
        <w:t>£30,9</w:t>
      </w:r>
      <w:r w:rsidR="00BB5315" w:rsidRPr="00B058D7">
        <w:rPr>
          <w:rFonts w:ascii="Calibri" w:hAnsi="Calibri" w:cs="Calibri"/>
          <w:sz w:val="24"/>
          <w:szCs w:val="24"/>
        </w:rPr>
        <w:t>44,3</w:t>
      </w:r>
      <w:r w:rsidR="000B5AA7" w:rsidRPr="00B058D7">
        <w:rPr>
          <w:rFonts w:ascii="Calibri" w:hAnsi="Calibri" w:cs="Calibri"/>
          <w:sz w:val="24"/>
          <w:szCs w:val="24"/>
        </w:rPr>
        <w:t>92</w:t>
      </w:r>
      <w:r w:rsidR="00002E0F" w:rsidRPr="00B058D7">
        <w:rPr>
          <w:rFonts w:ascii="Calibri" w:eastAsia="Times New Roman" w:hAnsi="Calibri" w:cs="Calibri"/>
          <w:bCs/>
          <w:sz w:val="24"/>
          <w:szCs w:val="24"/>
        </w:rPr>
        <w:t>. This is 199% of the forecast Net Budget Requirement of £15,5</w:t>
      </w:r>
      <w:r w:rsidR="00E062ED" w:rsidRPr="00B058D7">
        <w:rPr>
          <w:rFonts w:ascii="Calibri" w:eastAsia="Times New Roman" w:hAnsi="Calibri" w:cs="Calibri"/>
          <w:bCs/>
          <w:sz w:val="24"/>
          <w:szCs w:val="24"/>
        </w:rPr>
        <w:t>60</w:t>
      </w:r>
      <w:r w:rsidR="00002E0F" w:rsidRPr="00B058D7">
        <w:rPr>
          <w:rFonts w:ascii="Calibri" w:eastAsia="Times New Roman" w:hAnsi="Calibri" w:cs="Calibri"/>
          <w:bCs/>
          <w:sz w:val="24"/>
          <w:szCs w:val="24"/>
        </w:rPr>
        <w:t xml:space="preserve">,910. </w:t>
      </w:r>
      <w:r w:rsidRPr="00B058D7">
        <w:rPr>
          <w:rFonts w:ascii="Calibri" w:eastAsia="Times New Roman" w:hAnsi="Calibri" w:cs="Calibri"/>
          <w:bCs/>
          <w:sz w:val="24"/>
          <w:szCs w:val="24"/>
        </w:rPr>
        <w:t>The s151 Officer of the Council is satisfied with the adequacy of the levels of reserves and balances.</w:t>
      </w:r>
    </w:p>
    <w:p w14:paraId="05CBE14C" w14:textId="77777777" w:rsidR="001A6771" w:rsidRPr="00B058D7" w:rsidRDefault="001A6771" w:rsidP="00CE0225">
      <w:pPr>
        <w:spacing w:after="0" w:line="240" w:lineRule="auto"/>
        <w:jc w:val="both"/>
        <w:rPr>
          <w:rFonts w:ascii="Calibri" w:hAnsi="Calibri" w:cs="Calibri"/>
          <w:sz w:val="24"/>
          <w:szCs w:val="24"/>
        </w:rPr>
      </w:pPr>
    </w:p>
    <w:p w14:paraId="673184C6" w14:textId="7509F2A4" w:rsidR="00CE0225" w:rsidRPr="00B058D7" w:rsidRDefault="005E51A5" w:rsidP="00CE0225">
      <w:pPr>
        <w:spacing w:after="0" w:line="240" w:lineRule="auto"/>
        <w:jc w:val="both"/>
        <w:rPr>
          <w:rFonts w:ascii="Calibri" w:hAnsi="Calibri" w:cs="Calibri"/>
          <w:sz w:val="24"/>
          <w:szCs w:val="24"/>
        </w:rPr>
      </w:pPr>
      <w:r w:rsidRPr="00B058D7">
        <w:rPr>
          <w:rFonts w:ascii="Calibri" w:hAnsi="Calibri" w:cs="Calibri"/>
          <w:sz w:val="24"/>
          <w:szCs w:val="24"/>
        </w:rPr>
        <w:t xml:space="preserve">The budget has been prepared in accordance with the budget strategy approved by </w:t>
      </w:r>
      <w:r w:rsidR="00002E0F" w:rsidRPr="00B058D7">
        <w:rPr>
          <w:rFonts w:ascii="Calibri" w:hAnsi="Calibri" w:cs="Calibri"/>
          <w:sz w:val="24"/>
          <w:szCs w:val="24"/>
        </w:rPr>
        <w:t xml:space="preserve">this Committee </w:t>
      </w:r>
      <w:r w:rsidRPr="00B058D7">
        <w:rPr>
          <w:rFonts w:ascii="Calibri" w:hAnsi="Calibri" w:cs="Calibri"/>
          <w:sz w:val="24"/>
          <w:szCs w:val="24"/>
        </w:rPr>
        <w:t>on 24 June 2021.</w:t>
      </w:r>
      <w:r w:rsidR="00CE0225" w:rsidRPr="00B058D7">
        <w:rPr>
          <w:rFonts w:ascii="Calibri" w:hAnsi="Calibri" w:cs="Calibri"/>
          <w:sz w:val="24"/>
          <w:szCs w:val="24"/>
        </w:rPr>
        <w:t xml:space="preserve"> The same strategy has been adopted for the period of the MTFP. </w:t>
      </w:r>
    </w:p>
    <w:p w14:paraId="71BF8947" w14:textId="77777777" w:rsidR="00CE0225" w:rsidRPr="00B058D7" w:rsidRDefault="00CE0225" w:rsidP="00CE0225">
      <w:pPr>
        <w:spacing w:after="0" w:line="240" w:lineRule="auto"/>
        <w:jc w:val="both"/>
        <w:rPr>
          <w:rFonts w:ascii="Calibri" w:hAnsi="Calibri" w:cs="Calibri"/>
          <w:sz w:val="24"/>
          <w:szCs w:val="24"/>
        </w:rPr>
      </w:pPr>
    </w:p>
    <w:p w14:paraId="3048B675" w14:textId="5CB00353" w:rsidR="003F2B4F" w:rsidRPr="00B058D7" w:rsidRDefault="00CE0225" w:rsidP="00CE0225">
      <w:pPr>
        <w:spacing w:after="0" w:line="240" w:lineRule="auto"/>
        <w:jc w:val="both"/>
        <w:rPr>
          <w:rFonts w:ascii="Calibri" w:hAnsi="Calibri" w:cs="Calibri"/>
          <w:sz w:val="24"/>
          <w:szCs w:val="24"/>
        </w:rPr>
      </w:pPr>
      <w:r w:rsidRPr="00B058D7">
        <w:rPr>
          <w:rFonts w:ascii="Calibri" w:hAnsi="Calibri" w:cs="Calibri"/>
          <w:sz w:val="24"/>
          <w:szCs w:val="24"/>
        </w:rPr>
        <w:t xml:space="preserve">The Section 151 Officer also notes that in the future, all local authorities, and in particular district councils, will face a reduction in core funding from the Government once changes to the current funding regime (in particular New Homes Bonus and Business Rates) are introduced – particularly against the backdrop of recovering from the impact of COVID-19. The Section 151 Officer is closely monitoring the progress of the Fair Funding Review, the government’s departmental multi-year </w:t>
      </w:r>
      <w:r w:rsidRPr="00B058D7">
        <w:rPr>
          <w:rFonts w:ascii="Calibri" w:hAnsi="Calibri" w:cs="Calibri"/>
          <w:sz w:val="24"/>
          <w:szCs w:val="24"/>
        </w:rPr>
        <w:lastRenderedPageBreak/>
        <w:t>Spending Review and the redesign of the national Business Rates Retention System. The council’s current projections within the Medium Term Financial Plan (MTFP) make prudent and robust assumptions around the likely level of funding in light of these government-led reviews.</w:t>
      </w:r>
    </w:p>
    <w:p w14:paraId="677C69FB" w14:textId="77777777" w:rsidR="0012238F" w:rsidRPr="00B058D7" w:rsidRDefault="0012238F" w:rsidP="00CE0225">
      <w:pPr>
        <w:spacing w:after="0" w:line="240" w:lineRule="auto"/>
        <w:jc w:val="both"/>
        <w:rPr>
          <w:rFonts w:ascii="Calibri" w:hAnsi="Calibri" w:cs="Calibri"/>
          <w:sz w:val="24"/>
          <w:szCs w:val="24"/>
        </w:rPr>
      </w:pPr>
    </w:p>
    <w:p w14:paraId="25825799" w14:textId="77777777" w:rsidR="0012238F" w:rsidRPr="00B058D7" w:rsidRDefault="0012238F" w:rsidP="0012238F">
      <w:pPr>
        <w:pStyle w:val="ListParagraph"/>
        <w:numPr>
          <w:ilvl w:val="0"/>
          <w:numId w:val="25"/>
        </w:numPr>
        <w:spacing w:after="0" w:line="240" w:lineRule="auto"/>
        <w:jc w:val="both"/>
        <w:rPr>
          <w:rFonts w:ascii="Calibri" w:hAnsi="Calibri" w:cs="Calibri"/>
          <w:b/>
          <w:sz w:val="24"/>
          <w:szCs w:val="24"/>
          <w:u w:val="single"/>
        </w:rPr>
      </w:pPr>
      <w:r w:rsidRPr="00B058D7">
        <w:rPr>
          <w:rFonts w:ascii="Calibri" w:hAnsi="Calibri" w:cs="Calibri"/>
          <w:b/>
          <w:sz w:val="24"/>
          <w:szCs w:val="24"/>
          <w:u w:val="single"/>
        </w:rPr>
        <w:t>Assumptions made within the MTFP</w:t>
      </w:r>
    </w:p>
    <w:p w14:paraId="14673E89" w14:textId="77777777" w:rsidR="0012238F" w:rsidRPr="00B058D7" w:rsidRDefault="0012238F" w:rsidP="0012238F">
      <w:pPr>
        <w:spacing w:after="0" w:line="240" w:lineRule="auto"/>
        <w:jc w:val="both"/>
        <w:rPr>
          <w:rFonts w:ascii="Calibri" w:hAnsi="Calibri" w:cs="Calibri"/>
          <w:sz w:val="24"/>
          <w:szCs w:val="24"/>
        </w:rPr>
      </w:pPr>
    </w:p>
    <w:p w14:paraId="57D6B8DA" w14:textId="77777777" w:rsidR="0012238F" w:rsidRPr="00B058D7" w:rsidRDefault="0012238F" w:rsidP="0012238F">
      <w:pPr>
        <w:spacing w:after="0" w:line="240" w:lineRule="auto"/>
        <w:jc w:val="both"/>
        <w:rPr>
          <w:rFonts w:ascii="Calibri" w:hAnsi="Calibri" w:cs="Calibri"/>
          <w:sz w:val="24"/>
          <w:szCs w:val="24"/>
        </w:rPr>
      </w:pPr>
      <w:r w:rsidRPr="00B058D7">
        <w:rPr>
          <w:rFonts w:ascii="Calibri" w:hAnsi="Calibri" w:cs="Calibri"/>
          <w:sz w:val="24"/>
          <w:szCs w:val="24"/>
        </w:rPr>
        <w:t>Finance officers and budget holders have developed detailed budgets for 2022/23 and future years. Officers have used the information available to them (past, present and future), and have made appropriate assumptions where the relevant information has been unavailable to them.</w:t>
      </w:r>
    </w:p>
    <w:p w14:paraId="637E6E0B" w14:textId="77777777" w:rsidR="0012238F" w:rsidRPr="00B058D7" w:rsidRDefault="0012238F" w:rsidP="0012238F">
      <w:pPr>
        <w:spacing w:after="0" w:line="240" w:lineRule="auto"/>
        <w:jc w:val="both"/>
        <w:rPr>
          <w:rFonts w:ascii="Calibri" w:hAnsi="Calibri" w:cs="Calibri"/>
          <w:sz w:val="24"/>
          <w:szCs w:val="24"/>
        </w:rPr>
      </w:pPr>
    </w:p>
    <w:p w14:paraId="04507697" w14:textId="77777777" w:rsidR="0012238F" w:rsidRPr="00B058D7" w:rsidRDefault="0012238F" w:rsidP="0012238F">
      <w:pPr>
        <w:spacing w:after="0" w:line="240" w:lineRule="auto"/>
        <w:jc w:val="both"/>
        <w:rPr>
          <w:rFonts w:ascii="Calibri" w:hAnsi="Calibri" w:cs="Calibri"/>
          <w:sz w:val="24"/>
          <w:szCs w:val="24"/>
          <w:highlight w:val="yellow"/>
        </w:rPr>
      </w:pPr>
      <w:r w:rsidRPr="00B058D7">
        <w:rPr>
          <w:rFonts w:ascii="Calibri" w:hAnsi="Calibri" w:cs="Calibri"/>
          <w:sz w:val="24"/>
          <w:szCs w:val="24"/>
        </w:rPr>
        <w:t>A 2% annual increase in basic pay has been assumed for 2022/23, and a 3% increase for each subsequent year of the council’s MTFP.</w:t>
      </w:r>
    </w:p>
    <w:p w14:paraId="1DE22320" w14:textId="77777777" w:rsidR="0012238F" w:rsidRPr="00B058D7" w:rsidRDefault="0012238F" w:rsidP="0012238F">
      <w:pPr>
        <w:spacing w:after="0" w:line="240" w:lineRule="auto"/>
        <w:jc w:val="both"/>
        <w:rPr>
          <w:rFonts w:ascii="Calibri" w:hAnsi="Calibri" w:cs="Calibri"/>
          <w:sz w:val="24"/>
          <w:szCs w:val="24"/>
        </w:rPr>
      </w:pPr>
    </w:p>
    <w:p w14:paraId="076A32CF" w14:textId="77777777" w:rsidR="0012238F" w:rsidRPr="00B058D7" w:rsidRDefault="0012238F" w:rsidP="0012238F">
      <w:pPr>
        <w:spacing w:after="0" w:line="240" w:lineRule="auto"/>
        <w:jc w:val="both"/>
        <w:rPr>
          <w:rFonts w:ascii="Calibri" w:hAnsi="Calibri" w:cs="Calibri"/>
          <w:sz w:val="24"/>
          <w:szCs w:val="24"/>
        </w:rPr>
      </w:pPr>
      <w:r w:rsidRPr="00B058D7">
        <w:rPr>
          <w:rFonts w:ascii="Calibri" w:hAnsi="Calibri" w:cs="Calibri"/>
          <w:sz w:val="24"/>
          <w:szCs w:val="24"/>
        </w:rPr>
        <w:t>The National Joint Council (NJC) for Local Government Services’ pay award for 2022/23 has not yet been finalised. The costs of the 2022/23 pay award may exceed the pay increases currently budgeted for. If the 2022/23 pay award is agreed at a higher rate than the 2% increase in basic pay assumed, and if reductions in employee costs elsewhere cannot offset the increase in pay award costs, the additional costs unbudgeted for will need to be funded from council reserves. Section 1.11 examines this in more detail.</w:t>
      </w:r>
    </w:p>
    <w:p w14:paraId="102BDAD0" w14:textId="77777777" w:rsidR="0012238F" w:rsidRPr="00B058D7" w:rsidRDefault="0012238F" w:rsidP="0012238F">
      <w:pPr>
        <w:spacing w:after="0" w:line="240" w:lineRule="auto"/>
        <w:jc w:val="both"/>
        <w:rPr>
          <w:rFonts w:ascii="Calibri" w:hAnsi="Calibri" w:cs="Calibri"/>
          <w:sz w:val="24"/>
          <w:szCs w:val="24"/>
        </w:rPr>
      </w:pPr>
    </w:p>
    <w:p w14:paraId="7D760618" w14:textId="77777777" w:rsidR="0012238F" w:rsidRPr="00B058D7" w:rsidRDefault="0012238F" w:rsidP="0012238F">
      <w:pPr>
        <w:spacing w:after="0" w:line="240" w:lineRule="auto"/>
        <w:jc w:val="both"/>
        <w:rPr>
          <w:rFonts w:ascii="Calibri" w:hAnsi="Calibri" w:cs="Calibri"/>
          <w:sz w:val="24"/>
          <w:szCs w:val="24"/>
        </w:rPr>
      </w:pPr>
      <w:r w:rsidRPr="00B058D7">
        <w:rPr>
          <w:rFonts w:ascii="Calibri" w:hAnsi="Calibri" w:cs="Calibri"/>
          <w:sz w:val="24"/>
          <w:szCs w:val="24"/>
        </w:rPr>
        <w:t>Most non-pay expenditure budgets have been uplifted by 3% in each year of the council’s MTFP</w:t>
      </w:r>
      <w:r w:rsidRPr="00B058D7">
        <w:rPr>
          <w:rFonts w:ascii="Calibri" w:hAnsi="Calibri" w:cs="Calibri"/>
          <w:spacing w:val="-3"/>
          <w:sz w:val="24"/>
          <w:szCs w:val="24"/>
        </w:rPr>
        <w:t>. Some costs, such as insurance and utilities, are expected to increase by more than 2%; and others, such as fixed-price goods and services, are expected to increase by less than 2%.</w:t>
      </w:r>
    </w:p>
    <w:p w14:paraId="33D4D130" w14:textId="77777777" w:rsidR="0012238F" w:rsidRPr="00B058D7" w:rsidRDefault="0012238F" w:rsidP="0012238F">
      <w:pPr>
        <w:spacing w:after="0" w:line="240" w:lineRule="auto"/>
        <w:jc w:val="both"/>
        <w:rPr>
          <w:rFonts w:ascii="Calibri" w:hAnsi="Calibri" w:cs="Calibri"/>
          <w:sz w:val="24"/>
          <w:szCs w:val="24"/>
        </w:rPr>
      </w:pPr>
    </w:p>
    <w:p w14:paraId="0669EBB1" w14:textId="77777777" w:rsidR="0012238F" w:rsidRPr="00B058D7" w:rsidRDefault="0012238F" w:rsidP="0012238F">
      <w:pPr>
        <w:spacing w:after="0" w:line="240" w:lineRule="auto"/>
        <w:jc w:val="both"/>
        <w:rPr>
          <w:rFonts w:ascii="Calibri" w:hAnsi="Calibri" w:cs="Calibri"/>
          <w:sz w:val="24"/>
          <w:szCs w:val="24"/>
        </w:rPr>
      </w:pPr>
      <w:r w:rsidRPr="00B058D7">
        <w:rPr>
          <w:rFonts w:ascii="Calibri" w:hAnsi="Calibri" w:cs="Calibri"/>
          <w:sz w:val="24"/>
          <w:szCs w:val="24"/>
        </w:rPr>
        <w:t>The council’s General Fund revenue budget is charged for the purchase or creation of fixed assets where capital resources are unavailable at the time. These charges will be in line with the council’s Minimum Revenue Provision (MRP) policy for 2022/23, which was recommended for approval by Full Council on 8 March 2022 by the Audit and Accounts Committee on 2 February 2021.</w:t>
      </w:r>
    </w:p>
    <w:p w14:paraId="2883A331" w14:textId="77777777" w:rsidR="0012238F" w:rsidRPr="00B058D7" w:rsidRDefault="0012238F" w:rsidP="0012238F">
      <w:pPr>
        <w:spacing w:after="0" w:line="240" w:lineRule="auto"/>
        <w:jc w:val="both"/>
        <w:rPr>
          <w:rFonts w:ascii="Calibri" w:hAnsi="Calibri" w:cs="Calibri"/>
          <w:sz w:val="24"/>
          <w:szCs w:val="24"/>
        </w:rPr>
      </w:pPr>
    </w:p>
    <w:p w14:paraId="5D1869FD" w14:textId="77777777" w:rsidR="0012238F" w:rsidRPr="00B058D7" w:rsidRDefault="0012238F" w:rsidP="0012238F">
      <w:pPr>
        <w:pStyle w:val="ListParagraph"/>
        <w:numPr>
          <w:ilvl w:val="0"/>
          <w:numId w:val="25"/>
        </w:numPr>
        <w:spacing w:after="0" w:line="240" w:lineRule="auto"/>
        <w:jc w:val="both"/>
        <w:rPr>
          <w:rFonts w:ascii="Calibri" w:hAnsi="Calibri" w:cs="Calibri"/>
          <w:b/>
          <w:sz w:val="24"/>
          <w:szCs w:val="24"/>
          <w:u w:val="single"/>
        </w:rPr>
      </w:pPr>
      <w:bookmarkStart w:id="6" w:name="_Ref95204741"/>
      <w:r w:rsidRPr="00B058D7">
        <w:rPr>
          <w:rFonts w:ascii="Calibri" w:hAnsi="Calibri" w:cs="Calibri"/>
          <w:b/>
          <w:sz w:val="24"/>
          <w:szCs w:val="24"/>
          <w:u w:val="single"/>
        </w:rPr>
        <w:t>Proposed strategy for bridging the funding gap</w:t>
      </w:r>
      <w:bookmarkEnd w:id="6"/>
    </w:p>
    <w:p w14:paraId="0CA6EAED" w14:textId="77777777" w:rsidR="0012238F" w:rsidRPr="00B058D7" w:rsidRDefault="0012238F" w:rsidP="0012238F">
      <w:pPr>
        <w:spacing w:after="0" w:line="240" w:lineRule="auto"/>
        <w:jc w:val="both"/>
        <w:rPr>
          <w:rFonts w:ascii="Calibri" w:hAnsi="Calibri" w:cs="Calibri"/>
          <w:sz w:val="24"/>
          <w:szCs w:val="24"/>
        </w:rPr>
      </w:pPr>
    </w:p>
    <w:p w14:paraId="7A8F3BAB" w14:textId="77777777" w:rsidR="0012238F" w:rsidRPr="00B058D7" w:rsidRDefault="0012238F" w:rsidP="0012238F">
      <w:pPr>
        <w:spacing w:after="0" w:line="240" w:lineRule="auto"/>
        <w:jc w:val="both"/>
        <w:rPr>
          <w:rFonts w:ascii="Calibri" w:hAnsi="Calibri" w:cs="Calibri"/>
          <w:sz w:val="24"/>
          <w:szCs w:val="24"/>
        </w:rPr>
      </w:pPr>
      <w:r w:rsidRPr="00B058D7">
        <w:rPr>
          <w:rFonts w:ascii="Calibri" w:hAnsi="Calibri" w:cs="Calibri"/>
          <w:sz w:val="24"/>
          <w:szCs w:val="24"/>
        </w:rPr>
        <w:t>The table below shows the contributions to and from reserves currently projected for each year of the council’s MTFP (as described at the table in paragraph 1.1), and the actions currently proposed to mitigate the annual contributions from reserves projected for 2023/24, 2024/25 and 2025/26:</w:t>
      </w:r>
    </w:p>
    <w:p w14:paraId="63F10A74" w14:textId="77777777" w:rsidR="0012238F" w:rsidRPr="00B058D7" w:rsidRDefault="0012238F" w:rsidP="0012238F">
      <w:pPr>
        <w:spacing w:after="0" w:line="240" w:lineRule="auto"/>
        <w:jc w:val="both"/>
        <w:rPr>
          <w:rFonts w:ascii="Calibri" w:hAnsi="Calibri" w:cs="Calibri"/>
          <w:sz w:val="24"/>
          <w:szCs w:val="24"/>
        </w:rPr>
      </w:pPr>
    </w:p>
    <w:tbl>
      <w:tblPr>
        <w:tblStyle w:val="TableGrid"/>
        <w:tblW w:w="9781" w:type="dxa"/>
        <w:jc w:val="right"/>
        <w:tblLook w:val="04A0" w:firstRow="1" w:lastRow="0" w:firstColumn="1" w:lastColumn="0" w:noHBand="0" w:noVBand="1"/>
      </w:tblPr>
      <w:tblGrid>
        <w:gridCol w:w="5422"/>
        <w:gridCol w:w="1089"/>
        <w:gridCol w:w="1090"/>
        <w:gridCol w:w="1090"/>
        <w:gridCol w:w="1090"/>
      </w:tblGrid>
      <w:tr w:rsidR="0012238F" w:rsidRPr="00B058D7" w14:paraId="4C1FA485" w14:textId="77777777" w:rsidTr="00B058D7">
        <w:trPr>
          <w:jc w:val="right"/>
        </w:trPr>
        <w:tc>
          <w:tcPr>
            <w:tcW w:w="5422" w:type="dxa"/>
            <w:vAlign w:val="center"/>
          </w:tcPr>
          <w:p w14:paraId="312ADD62" w14:textId="77777777" w:rsidR="0012238F" w:rsidRPr="00B058D7" w:rsidRDefault="0012238F" w:rsidP="0047065A">
            <w:pPr>
              <w:jc w:val="both"/>
              <w:rPr>
                <w:rFonts w:ascii="Calibri" w:hAnsi="Calibri" w:cs="Calibri"/>
                <w:sz w:val="24"/>
                <w:szCs w:val="24"/>
              </w:rPr>
            </w:pPr>
          </w:p>
        </w:tc>
        <w:tc>
          <w:tcPr>
            <w:tcW w:w="1089" w:type="dxa"/>
          </w:tcPr>
          <w:p w14:paraId="547BB8E4" w14:textId="77777777" w:rsidR="0012238F" w:rsidRPr="00B058D7" w:rsidRDefault="0012238F" w:rsidP="00B058D7">
            <w:pPr>
              <w:jc w:val="right"/>
              <w:rPr>
                <w:rFonts w:ascii="Calibri" w:hAnsi="Calibri" w:cs="Calibri"/>
                <w:b/>
                <w:sz w:val="24"/>
                <w:szCs w:val="24"/>
              </w:rPr>
            </w:pPr>
            <w:r w:rsidRPr="00B058D7">
              <w:rPr>
                <w:rFonts w:ascii="Calibri" w:hAnsi="Calibri" w:cs="Calibri"/>
                <w:b/>
                <w:sz w:val="24"/>
                <w:szCs w:val="24"/>
              </w:rPr>
              <w:t>2022/23 (£m)</w:t>
            </w:r>
          </w:p>
        </w:tc>
        <w:tc>
          <w:tcPr>
            <w:tcW w:w="1090" w:type="dxa"/>
          </w:tcPr>
          <w:p w14:paraId="2970D6D3" w14:textId="77777777" w:rsidR="0012238F" w:rsidRPr="00B058D7" w:rsidRDefault="0012238F" w:rsidP="00B058D7">
            <w:pPr>
              <w:jc w:val="right"/>
              <w:rPr>
                <w:rFonts w:ascii="Calibri" w:hAnsi="Calibri" w:cs="Calibri"/>
                <w:b/>
                <w:sz w:val="24"/>
                <w:szCs w:val="24"/>
              </w:rPr>
            </w:pPr>
            <w:r w:rsidRPr="00B058D7">
              <w:rPr>
                <w:rFonts w:ascii="Calibri" w:hAnsi="Calibri" w:cs="Calibri"/>
                <w:b/>
                <w:sz w:val="24"/>
                <w:szCs w:val="24"/>
              </w:rPr>
              <w:t>2023/24</w:t>
            </w:r>
          </w:p>
          <w:p w14:paraId="68EE27E1" w14:textId="77777777" w:rsidR="0012238F" w:rsidRPr="00B058D7" w:rsidRDefault="0012238F" w:rsidP="00B058D7">
            <w:pPr>
              <w:jc w:val="right"/>
              <w:rPr>
                <w:rFonts w:ascii="Calibri" w:hAnsi="Calibri" w:cs="Calibri"/>
                <w:b/>
                <w:sz w:val="24"/>
                <w:szCs w:val="24"/>
              </w:rPr>
            </w:pPr>
            <w:r w:rsidRPr="00B058D7">
              <w:rPr>
                <w:rFonts w:ascii="Calibri" w:hAnsi="Calibri" w:cs="Calibri"/>
                <w:b/>
                <w:sz w:val="24"/>
                <w:szCs w:val="24"/>
              </w:rPr>
              <w:t>(£m)</w:t>
            </w:r>
          </w:p>
        </w:tc>
        <w:tc>
          <w:tcPr>
            <w:tcW w:w="1090" w:type="dxa"/>
          </w:tcPr>
          <w:p w14:paraId="137CCAAB" w14:textId="77777777" w:rsidR="0012238F" w:rsidRPr="00B058D7" w:rsidRDefault="0012238F" w:rsidP="00B058D7">
            <w:pPr>
              <w:jc w:val="right"/>
              <w:rPr>
                <w:rFonts w:ascii="Calibri" w:hAnsi="Calibri" w:cs="Calibri"/>
                <w:b/>
                <w:sz w:val="24"/>
                <w:szCs w:val="24"/>
              </w:rPr>
            </w:pPr>
            <w:r w:rsidRPr="00B058D7">
              <w:rPr>
                <w:rFonts w:ascii="Calibri" w:hAnsi="Calibri" w:cs="Calibri"/>
                <w:b/>
                <w:sz w:val="24"/>
                <w:szCs w:val="24"/>
              </w:rPr>
              <w:t>2024/25 (£m)</w:t>
            </w:r>
          </w:p>
        </w:tc>
        <w:tc>
          <w:tcPr>
            <w:tcW w:w="1090" w:type="dxa"/>
          </w:tcPr>
          <w:p w14:paraId="3577B320" w14:textId="77777777" w:rsidR="0012238F" w:rsidRPr="00B058D7" w:rsidRDefault="0012238F" w:rsidP="00B058D7">
            <w:pPr>
              <w:jc w:val="right"/>
              <w:rPr>
                <w:rFonts w:ascii="Calibri" w:hAnsi="Calibri" w:cs="Calibri"/>
                <w:b/>
                <w:sz w:val="24"/>
                <w:szCs w:val="24"/>
              </w:rPr>
            </w:pPr>
            <w:r w:rsidRPr="00B058D7">
              <w:rPr>
                <w:rFonts w:ascii="Calibri" w:hAnsi="Calibri" w:cs="Calibri"/>
                <w:b/>
                <w:sz w:val="24"/>
                <w:szCs w:val="24"/>
              </w:rPr>
              <w:t>2025/26 (£m)</w:t>
            </w:r>
          </w:p>
        </w:tc>
      </w:tr>
      <w:tr w:rsidR="002A531F" w:rsidRPr="00B058D7" w14:paraId="34A34317" w14:textId="77777777" w:rsidTr="00B058D7">
        <w:trPr>
          <w:jc w:val="right"/>
        </w:trPr>
        <w:tc>
          <w:tcPr>
            <w:tcW w:w="5422" w:type="dxa"/>
            <w:vAlign w:val="center"/>
          </w:tcPr>
          <w:p w14:paraId="51D4C6ED" w14:textId="2CF5F76D" w:rsidR="002A531F" w:rsidRPr="00B058D7" w:rsidRDefault="002A531F" w:rsidP="002A531F">
            <w:pPr>
              <w:tabs>
                <w:tab w:val="left" w:pos="270"/>
              </w:tabs>
              <w:jc w:val="both"/>
              <w:rPr>
                <w:rFonts w:ascii="Calibri" w:hAnsi="Calibri" w:cs="Calibri"/>
                <w:b/>
                <w:sz w:val="24"/>
                <w:szCs w:val="24"/>
              </w:rPr>
            </w:pPr>
            <w:r w:rsidRPr="00B058D7">
              <w:rPr>
                <w:rFonts w:ascii="Calibri" w:hAnsi="Calibri" w:cs="Calibri"/>
                <w:b/>
                <w:bCs/>
                <w:color w:val="000000"/>
                <w:sz w:val="24"/>
                <w:szCs w:val="24"/>
              </w:rPr>
              <w:t xml:space="preserve">Contribution </w:t>
            </w:r>
            <w:r w:rsidRPr="00B058D7">
              <w:rPr>
                <w:rFonts w:ascii="Calibri" w:hAnsi="Calibri" w:cs="Calibri"/>
                <w:b/>
                <w:bCs/>
                <w:color w:val="FF0000"/>
                <w:sz w:val="24"/>
                <w:szCs w:val="24"/>
              </w:rPr>
              <w:t>(to)</w:t>
            </w:r>
            <w:r w:rsidRPr="00B058D7">
              <w:rPr>
                <w:rFonts w:ascii="Calibri" w:hAnsi="Calibri" w:cs="Calibri"/>
                <w:b/>
                <w:bCs/>
                <w:color w:val="000000"/>
                <w:sz w:val="24"/>
                <w:szCs w:val="24"/>
              </w:rPr>
              <w:t xml:space="preserve"> or from reserves</w:t>
            </w:r>
          </w:p>
        </w:tc>
        <w:tc>
          <w:tcPr>
            <w:tcW w:w="1089" w:type="dxa"/>
            <w:vAlign w:val="center"/>
          </w:tcPr>
          <w:p w14:paraId="6AE04963" w14:textId="733C98DC" w:rsidR="002A531F" w:rsidRPr="00B058D7" w:rsidRDefault="002A531F" w:rsidP="002A531F">
            <w:pPr>
              <w:jc w:val="right"/>
              <w:rPr>
                <w:rFonts w:ascii="Calibri" w:hAnsi="Calibri" w:cs="Calibri"/>
                <w:b/>
                <w:color w:val="FF0000"/>
                <w:sz w:val="24"/>
                <w:szCs w:val="24"/>
              </w:rPr>
            </w:pPr>
            <w:r w:rsidRPr="00B058D7">
              <w:rPr>
                <w:rFonts w:ascii="Calibri" w:hAnsi="Calibri" w:cs="Calibri"/>
                <w:b/>
                <w:bCs/>
                <w:color w:val="000000"/>
                <w:sz w:val="24"/>
                <w:szCs w:val="24"/>
              </w:rPr>
              <w:t>0.657</w:t>
            </w:r>
          </w:p>
        </w:tc>
        <w:tc>
          <w:tcPr>
            <w:tcW w:w="1090" w:type="dxa"/>
            <w:vAlign w:val="center"/>
          </w:tcPr>
          <w:p w14:paraId="396C4C42" w14:textId="6B1B3C0F" w:rsidR="002A531F" w:rsidRPr="00B058D7" w:rsidRDefault="002A531F" w:rsidP="002A531F">
            <w:pPr>
              <w:jc w:val="right"/>
              <w:rPr>
                <w:rFonts w:ascii="Calibri" w:hAnsi="Calibri" w:cs="Calibri"/>
                <w:b/>
                <w:sz w:val="24"/>
                <w:szCs w:val="24"/>
              </w:rPr>
            </w:pPr>
            <w:r w:rsidRPr="00B058D7">
              <w:rPr>
                <w:rFonts w:ascii="Calibri" w:hAnsi="Calibri" w:cs="Calibri"/>
                <w:b/>
                <w:bCs/>
                <w:color w:val="000000"/>
                <w:sz w:val="24"/>
                <w:szCs w:val="24"/>
              </w:rPr>
              <w:t>3.447</w:t>
            </w:r>
          </w:p>
        </w:tc>
        <w:tc>
          <w:tcPr>
            <w:tcW w:w="1090" w:type="dxa"/>
            <w:vAlign w:val="center"/>
          </w:tcPr>
          <w:p w14:paraId="0AB64C08" w14:textId="27CC790B" w:rsidR="002A531F" w:rsidRPr="00B058D7" w:rsidRDefault="002A531F" w:rsidP="002A531F">
            <w:pPr>
              <w:jc w:val="right"/>
              <w:rPr>
                <w:rFonts w:ascii="Calibri" w:hAnsi="Calibri" w:cs="Calibri"/>
                <w:b/>
                <w:sz w:val="24"/>
                <w:szCs w:val="24"/>
              </w:rPr>
            </w:pPr>
            <w:r w:rsidRPr="00B058D7">
              <w:rPr>
                <w:rFonts w:ascii="Calibri" w:hAnsi="Calibri" w:cs="Calibri"/>
                <w:b/>
                <w:bCs/>
                <w:color w:val="000000"/>
                <w:sz w:val="24"/>
                <w:szCs w:val="24"/>
              </w:rPr>
              <w:t>2.929</w:t>
            </w:r>
          </w:p>
        </w:tc>
        <w:tc>
          <w:tcPr>
            <w:tcW w:w="1090" w:type="dxa"/>
            <w:vAlign w:val="center"/>
          </w:tcPr>
          <w:p w14:paraId="0E8F9066" w14:textId="0CFDE309" w:rsidR="002A531F" w:rsidRPr="00B058D7" w:rsidRDefault="002A531F" w:rsidP="002A531F">
            <w:pPr>
              <w:jc w:val="right"/>
              <w:rPr>
                <w:rFonts w:ascii="Calibri" w:hAnsi="Calibri" w:cs="Calibri"/>
                <w:sz w:val="24"/>
                <w:szCs w:val="24"/>
              </w:rPr>
            </w:pPr>
            <w:r w:rsidRPr="00B058D7">
              <w:rPr>
                <w:rFonts w:ascii="Calibri" w:hAnsi="Calibri" w:cs="Calibri"/>
                <w:b/>
                <w:bCs/>
                <w:color w:val="000000"/>
                <w:sz w:val="24"/>
                <w:szCs w:val="24"/>
              </w:rPr>
              <w:t>2.481</w:t>
            </w:r>
          </w:p>
        </w:tc>
      </w:tr>
      <w:tr w:rsidR="002A531F" w:rsidRPr="00B058D7" w14:paraId="6D53E1E2" w14:textId="77777777" w:rsidTr="00B058D7">
        <w:trPr>
          <w:jc w:val="right"/>
        </w:trPr>
        <w:tc>
          <w:tcPr>
            <w:tcW w:w="5422" w:type="dxa"/>
            <w:vAlign w:val="center"/>
          </w:tcPr>
          <w:p w14:paraId="0DA665B8" w14:textId="175B592B" w:rsidR="002A531F" w:rsidRPr="00B058D7" w:rsidRDefault="002A531F" w:rsidP="002A531F">
            <w:pPr>
              <w:tabs>
                <w:tab w:val="left" w:pos="270"/>
              </w:tabs>
              <w:jc w:val="both"/>
              <w:rPr>
                <w:rFonts w:ascii="Calibri" w:hAnsi="Calibri" w:cs="Calibri"/>
                <w:sz w:val="24"/>
                <w:szCs w:val="24"/>
              </w:rPr>
            </w:pPr>
            <w:r w:rsidRPr="00B058D7">
              <w:rPr>
                <w:rFonts w:ascii="Calibri" w:hAnsi="Calibri" w:cs="Calibri"/>
                <w:color w:val="000000"/>
                <w:sz w:val="24"/>
                <w:szCs w:val="24"/>
              </w:rPr>
              <w:t xml:space="preserve">Contribution </w:t>
            </w:r>
            <w:r w:rsidRPr="00B058D7">
              <w:rPr>
                <w:rFonts w:ascii="Calibri" w:hAnsi="Calibri" w:cs="Calibri"/>
                <w:color w:val="FF0000"/>
                <w:sz w:val="24"/>
                <w:szCs w:val="24"/>
              </w:rPr>
              <w:t>(to)</w:t>
            </w:r>
            <w:r w:rsidRPr="00B058D7">
              <w:rPr>
                <w:rFonts w:ascii="Calibri" w:hAnsi="Calibri" w:cs="Calibri"/>
                <w:color w:val="000000"/>
                <w:sz w:val="24"/>
                <w:szCs w:val="24"/>
              </w:rPr>
              <w:t xml:space="preserve"> or from reserves other than MTFP reserve</w:t>
            </w:r>
          </w:p>
        </w:tc>
        <w:tc>
          <w:tcPr>
            <w:tcW w:w="1089" w:type="dxa"/>
            <w:vAlign w:val="center"/>
          </w:tcPr>
          <w:p w14:paraId="43990256" w14:textId="08E8464F" w:rsidR="002A531F" w:rsidRPr="00B058D7" w:rsidRDefault="002A531F" w:rsidP="002A531F">
            <w:pPr>
              <w:jc w:val="right"/>
              <w:rPr>
                <w:rFonts w:ascii="Calibri" w:hAnsi="Calibri" w:cs="Calibri"/>
                <w:sz w:val="24"/>
                <w:szCs w:val="24"/>
                <w:highlight w:val="yellow"/>
              </w:rPr>
            </w:pPr>
            <w:r w:rsidRPr="00B058D7">
              <w:rPr>
                <w:rFonts w:ascii="Calibri" w:hAnsi="Calibri" w:cs="Calibri"/>
                <w:color w:val="FF0000"/>
                <w:sz w:val="24"/>
                <w:szCs w:val="24"/>
              </w:rPr>
              <w:t>(0.096)</w:t>
            </w:r>
          </w:p>
        </w:tc>
        <w:tc>
          <w:tcPr>
            <w:tcW w:w="1090" w:type="dxa"/>
            <w:vAlign w:val="center"/>
          </w:tcPr>
          <w:p w14:paraId="5FFB6373" w14:textId="4B3EE23F" w:rsidR="002A531F" w:rsidRPr="00B058D7" w:rsidRDefault="002A531F" w:rsidP="002A531F">
            <w:pPr>
              <w:jc w:val="right"/>
              <w:rPr>
                <w:rFonts w:ascii="Calibri" w:hAnsi="Calibri" w:cs="Calibri"/>
                <w:color w:val="FF0000"/>
                <w:sz w:val="24"/>
                <w:szCs w:val="24"/>
                <w:highlight w:val="yellow"/>
              </w:rPr>
            </w:pPr>
            <w:r w:rsidRPr="00B058D7">
              <w:rPr>
                <w:rFonts w:ascii="Calibri" w:hAnsi="Calibri" w:cs="Calibri"/>
                <w:sz w:val="24"/>
                <w:szCs w:val="24"/>
              </w:rPr>
              <w:t>0.200</w:t>
            </w:r>
          </w:p>
        </w:tc>
        <w:tc>
          <w:tcPr>
            <w:tcW w:w="1090" w:type="dxa"/>
            <w:vAlign w:val="center"/>
          </w:tcPr>
          <w:p w14:paraId="4A23142F" w14:textId="60B082A7" w:rsidR="002A531F" w:rsidRPr="00B058D7" w:rsidRDefault="002A531F" w:rsidP="002A531F">
            <w:pPr>
              <w:jc w:val="right"/>
              <w:rPr>
                <w:rFonts w:ascii="Calibri" w:hAnsi="Calibri" w:cs="Calibri"/>
                <w:color w:val="FF0000"/>
                <w:sz w:val="24"/>
                <w:szCs w:val="24"/>
                <w:highlight w:val="yellow"/>
              </w:rPr>
            </w:pPr>
            <w:r w:rsidRPr="00B058D7">
              <w:rPr>
                <w:rFonts w:ascii="Calibri" w:hAnsi="Calibri" w:cs="Calibri"/>
                <w:sz w:val="24"/>
                <w:szCs w:val="24"/>
              </w:rPr>
              <w:t>0.200</w:t>
            </w:r>
          </w:p>
        </w:tc>
        <w:tc>
          <w:tcPr>
            <w:tcW w:w="1090" w:type="dxa"/>
            <w:vAlign w:val="center"/>
          </w:tcPr>
          <w:p w14:paraId="3ECA2E02" w14:textId="5486C74A" w:rsidR="002A531F" w:rsidRPr="00B058D7" w:rsidRDefault="002A531F" w:rsidP="002A531F">
            <w:pPr>
              <w:jc w:val="right"/>
              <w:rPr>
                <w:rFonts w:ascii="Calibri" w:hAnsi="Calibri" w:cs="Calibri"/>
                <w:sz w:val="24"/>
                <w:szCs w:val="24"/>
                <w:highlight w:val="yellow"/>
              </w:rPr>
            </w:pPr>
            <w:r w:rsidRPr="00B058D7">
              <w:rPr>
                <w:rFonts w:ascii="Calibri" w:hAnsi="Calibri" w:cs="Calibri"/>
                <w:sz w:val="24"/>
                <w:szCs w:val="24"/>
              </w:rPr>
              <w:t>0.200</w:t>
            </w:r>
          </w:p>
        </w:tc>
      </w:tr>
      <w:tr w:rsidR="002A531F" w:rsidRPr="00B058D7" w14:paraId="57E79CCF" w14:textId="77777777" w:rsidTr="00B058D7">
        <w:trPr>
          <w:jc w:val="right"/>
        </w:trPr>
        <w:tc>
          <w:tcPr>
            <w:tcW w:w="5422" w:type="dxa"/>
            <w:vAlign w:val="center"/>
          </w:tcPr>
          <w:p w14:paraId="7FBD06B7" w14:textId="721E1338" w:rsidR="002A531F" w:rsidRPr="00B058D7" w:rsidRDefault="002A531F" w:rsidP="002A531F">
            <w:pPr>
              <w:tabs>
                <w:tab w:val="left" w:pos="270"/>
              </w:tabs>
              <w:jc w:val="both"/>
              <w:rPr>
                <w:rFonts w:ascii="Calibri" w:hAnsi="Calibri" w:cs="Calibri"/>
                <w:sz w:val="24"/>
                <w:szCs w:val="24"/>
              </w:rPr>
            </w:pPr>
            <w:r w:rsidRPr="00B058D7">
              <w:rPr>
                <w:rFonts w:ascii="Calibri" w:hAnsi="Calibri" w:cs="Calibri"/>
                <w:b/>
                <w:bCs/>
                <w:color w:val="000000"/>
                <w:sz w:val="24"/>
                <w:szCs w:val="24"/>
              </w:rPr>
              <w:t xml:space="preserve">Contribution </w:t>
            </w:r>
            <w:r w:rsidRPr="00B058D7">
              <w:rPr>
                <w:rFonts w:ascii="Calibri" w:hAnsi="Calibri" w:cs="Calibri"/>
                <w:b/>
                <w:bCs/>
                <w:color w:val="FF0000"/>
                <w:sz w:val="24"/>
                <w:szCs w:val="24"/>
              </w:rPr>
              <w:t>(to)</w:t>
            </w:r>
            <w:r w:rsidRPr="00B058D7">
              <w:rPr>
                <w:rFonts w:ascii="Calibri" w:hAnsi="Calibri" w:cs="Calibri"/>
                <w:b/>
                <w:bCs/>
                <w:color w:val="000000"/>
                <w:sz w:val="24"/>
                <w:szCs w:val="24"/>
              </w:rPr>
              <w:t xml:space="preserve"> or from MTFP reserve, </w:t>
            </w:r>
            <w:r w:rsidRPr="00B058D7">
              <w:rPr>
                <w:rFonts w:ascii="Calibri" w:hAnsi="Calibri" w:cs="Calibri"/>
                <w:b/>
                <w:sz w:val="24"/>
                <w:szCs w:val="24"/>
              </w:rPr>
              <w:t>before proposed mitigations below</w:t>
            </w:r>
          </w:p>
        </w:tc>
        <w:tc>
          <w:tcPr>
            <w:tcW w:w="1089" w:type="dxa"/>
            <w:vAlign w:val="center"/>
          </w:tcPr>
          <w:p w14:paraId="11B7845B" w14:textId="570D0754" w:rsidR="002A531F" w:rsidRPr="00B058D7" w:rsidRDefault="002A531F" w:rsidP="002A531F">
            <w:pPr>
              <w:jc w:val="right"/>
              <w:rPr>
                <w:rFonts w:ascii="Calibri" w:hAnsi="Calibri" w:cs="Calibri"/>
                <w:sz w:val="24"/>
                <w:szCs w:val="24"/>
                <w:highlight w:val="yellow"/>
              </w:rPr>
            </w:pPr>
            <w:r w:rsidRPr="00B058D7">
              <w:rPr>
                <w:rFonts w:ascii="Calibri" w:hAnsi="Calibri" w:cs="Calibri"/>
                <w:b/>
                <w:bCs/>
                <w:color w:val="000000"/>
                <w:sz w:val="24"/>
                <w:szCs w:val="24"/>
              </w:rPr>
              <w:t>0.561</w:t>
            </w:r>
          </w:p>
        </w:tc>
        <w:tc>
          <w:tcPr>
            <w:tcW w:w="1090" w:type="dxa"/>
            <w:vAlign w:val="center"/>
          </w:tcPr>
          <w:p w14:paraId="485D63DC" w14:textId="6B495920" w:rsidR="002A531F" w:rsidRPr="00B058D7" w:rsidRDefault="002A531F" w:rsidP="002A531F">
            <w:pPr>
              <w:jc w:val="right"/>
              <w:rPr>
                <w:rFonts w:ascii="Calibri" w:hAnsi="Calibri" w:cs="Calibri"/>
                <w:color w:val="FF0000"/>
                <w:sz w:val="24"/>
                <w:szCs w:val="24"/>
                <w:highlight w:val="yellow"/>
              </w:rPr>
            </w:pPr>
            <w:r w:rsidRPr="00B058D7">
              <w:rPr>
                <w:rFonts w:ascii="Calibri" w:hAnsi="Calibri" w:cs="Calibri"/>
                <w:b/>
                <w:bCs/>
                <w:color w:val="000000"/>
                <w:sz w:val="24"/>
                <w:szCs w:val="24"/>
              </w:rPr>
              <w:t>3.647</w:t>
            </w:r>
          </w:p>
        </w:tc>
        <w:tc>
          <w:tcPr>
            <w:tcW w:w="1090" w:type="dxa"/>
            <w:vAlign w:val="center"/>
          </w:tcPr>
          <w:p w14:paraId="41CCCFBB" w14:textId="5A59ED14" w:rsidR="002A531F" w:rsidRPr="00B058D7" w:rsidRDefault="002A531F" w:rsidP="002A531F">
            <w:pPr>
              <w:jc w:val="right"/>
              <w:rPr>
                <w:rFonts w:ascii="Calibri" w:hAnsi="Calibri" w:cs="Calibri"/>
                <w:color w:val="FF0000"/>
                <w:sz w:val="24"/>
                <w:szCs w:val="24"/>
                <w:highlight w:val="yellow"/>
              </w:rPr>
            </w:pPr>
            <w:r w:rsidRPr="00B058D7">
              <w:rPr>
                <w:rFonts w:ascii="Calibri" w:hAnsi="Calibri" w:cs="Calibri"/>
                <w:b/>
                <w:bCs/>
                <w:color w:val="000000"/>
                <w:sz w:val="24"/>
                <w:szCs w:val="24"/>
              </w:rPr>
              <w:t>3.129</w:t>
            </w:r>
          </w:p>
        </w:tc>
        <w:tc>
          <w:tcPr>
            <w:tcW w:w="1090" w:type="dxa"/>
            <w:vAlign w:val="center"/>
          </w:tcPr>
          <w:p w14:paraId="694A067B" w14:textId="73463456" w:rsidR="002A531F" w:rsidRPr="00B058D7" w:rsidRDefault="002A531F" w:rsidP="002A531F">
            <w:pPr>
              <w:jc w:val="right"/>
              <w:rPr>
                <w:rFonts w:ascii="Calibri" w:hAnsi="Calibri" w:cs="Calibri"/>
                <w:sz w:val="24"/>
                <w:szCs w:val="24"/>
                <w:highlight w:val="yellow"/>
              </w:rPr>
            </w:pPr>
            <w:r w:rsidRPr="00B058D7">
              <w:rPr>
                <w:rFonts w:ascii="Calibri" w:hAnsi="Calibri" w:cs="Calibri"/>
                <w:b/>
                <w:bCs/>
                <w:color w:val="000000"/>
                <w:sz w:val="24"/>
                <w:szCs w:val="24"/>
              </w:rPr>
              <w:t>2.681</w:t>
            </w:r>
          </w:p>
        </w:tc>
      </w:tr>
      <w:tr w:rsidR="002A531F" w:rsidRPr="00B058D7" w14:paraId="65E24FAB" w14:textId="77777777" w:rsidTr="00B058D7">
        <w:trPr>
          <w:jc w:val="right"/>
        </w:trPr>
        <w:tc>
          <w:tcPr>
            <w:tcW w:w="5422" w:type="dxa"/>
            <w:vAlign w:val="center"/>
          </w:tcPr>
          <w:p w14:paraId="2811602F" w14:textId="052FE519" w:rsidR="002A531F" w:rsidRPr="00B058D7" w:rsidRDefault="002A531F" w:rsidP="002A531F">
            <w:pPr>
              <w:tabs>
                <w:tab w:val="left" w:pos="270"/>
              </w:tabs>
              <w:jc w:val="both"/>
              <w:rPr>
                <w:rFonts w:ascii="Calibri" w:hAnsi="Calibri" w:cs="Calibri"/>
                <w:sz w:val="24"/>
                <w:szCs w:val="24"/>
              </w:rPr>
            </w:pPr>
            <w:r w:rsidRPr="00B058D7">
              <w:rPr>
                <w:rFonts w:ascii="Calibri" w:hAnsi="Calibri" w:cs="Calibri"/>
                <w:color w:val="000000"/>
                <w:sz w:val="24"/>
                <w:szCs w:val="24"/>
              </w:rPr>
              <w:t>Use of MTFP reserve to offset contributions from reserves in future years</w:t>
            </w:r>
          </w:p>
        </w:tc>
        <w:tc>
          <w:tcPr>
            <w:tcW w:w="1089" w:type="dxa"/>
            <w:vAlign w:val="center"/>
          </w:tcPr>
          <w:p w14:paraId="3DA3BC5F" w14:textId="6E3E6C36" w:rsidR="002A531F" w:rsidRPr="00B058D7" w:rsidRDefault="002A531F" w:rsidP="002A531F">
            <w:pPr>
              <w:jc w:val="right"/>
              <w:rPr>
                <w:rFonts w:ascii="Calibri" w:hAnsi="Calibri" w:cs="Calibri"/>
                <w:sz w:val="24"/>
                <w:szCs w:val="24"/>
                <w:highlight w:val="yellow"/>
              </w:rPr>
            </w:pPr>
            <w:r w:rsidRPr="00B058D7">
              <w:rPr>
                <w:rFonts w:ascii="Calibri" w:hAnsi="Calibri" w:cs="Calibri"/>
                <w:sz w:val="24"/>
                <w:szCs w:val="24"/>
              </w:rPr>
              <w:t>0.039</w:t>
            </w:r>
          </w:p>
        </w:tc>
        <w:tc>
          <w:tcPr>
            <w:tcW w:w="1090" w:type="dxa"/>
            <w:vAlign w:val="center"/>
          </w:tcPr>
          <w:p w14:paraId="4D7E656C" w14:textId="478F040B" w:rsidR="002A531F" w:rsidRPr="00B058D7" w:rsidRDefault="002A531F" w:rsidP="002A531F">
            <w:pPr>
              <w:jc w:val="right"/>
              <w:rPr>
                <w:rFonts w:ascii="Calibri" w:hAnsi="Calibri" w:cs="Calibri"/>
                <w:color w:val="FF0000"/>
                <w:sz w:val="24"/>
                <w:szCs w:val="24"/>
                <w:highlight w:val="yellow"/>
              </w:rPr>
            </w:pPr>
            <w:r w:rsidRPr="00B058D7">
              <w:rPr>
                <w:rFonts w:ascii="Calibri" w:hAnsi="Calibri" w:cs="Calibri"/>
                <w:color w:val="FF0000"/>
                <w:sz w:val="24"/>
                <w:szCs w:val="24"/>
              </w:rPr>
              <w:t>(2.947)</w:t>
            </w:r>
          </w:p>
        </w:tc>
        <w:tc>
          <w:tcPr>
            <w:tcW w:w="1090" w:type="dxa"/>
            <w:vAlign w:val="center"/>
          </w:tcPr>
          <w:p w14:paraId="0505C312" w14:textId="59F60E7A" w:rsidR="002A531F" w:rsidRPr="00B058D7" w:rsidRDefault="002A531F" w:rsidP="002A531F">
            <w:pPr>
              <w:jc w:val="right"/>
              <w:rPr>
                <w:rFonts w:ascii="Calibri" w:hAnsi="Calibri" w:cs="Calibri"/>
                <w:color w:val="FF0000"/>
                <w:sz w:val="24"/>
                <w:szCs w:val="24"/>
                <w:highlight w:val="yellow"/>
              </w:rPr>
            </w:pPr>
            <w:r w:rsidRPr="00B058D7">
              <w:rPr>
                <w:rFonts w:ascii="Calibri" w:hAnsi="Calibri" w:cs="Calibri"/>
                <w:color w:val="FF0000"/>
                <w:sz w:val="24"/>
                <w:szCs w:val="24"/>
              </w:rPr>
              <w:t>(1.979)</w:t>
            </w:r>
          </w:p>
        </w:tc>
        <w:tc>
          <w:tcPr>
            <w:tcW w:w="1090" w:type="dxa"/>
            <w:vAlign w:val="center"/>
          </w:tcPr>
          <w:p w14:paraId="49192D0E" w14:textId="5578DA94" w:rsidR="002A531F" w:rsidRPr="00B058D7" w:rsidRDefault="002A531F" w:rsidP="002A531F">
            <w:pPr>
              <w:jc w:val="right"/>
              <w:rPr>
                <w:rFonts w:ascii="Calibri" w:hAnsi="Calibri" w:cs="Calibri"/>
                <w:sz w:val="24"/>
                <w:szCs w:val="24"/>
                <w:highlight w:val="yellow"/>
              </w:rPr>
            </w:pPr>
            <w:r w:rsidRPr="00B058D7">
              <w:rPr>
                <w:rFonts w:ascii="Calibri" w:hAnsi="Calibri" w:cs="Calibri"/>
                <w:color w:val="FF0000"/>
                <w:sz w:val="24"/>
                <w:szCs w:val="24"/>
              </w:rPr>
              <w:t>(0.635)</w:t>
            </w:r>
          </w:p>
        </w:tc>
      </w:tr>
      <w:tr w:rsidR="002A531F" w:rsidRPr="00B058D7" w14:paraId="0FB1BE45" w14:textId="77777777" w:rsidTr="00B058D7">
        <w:trPr>
          <w:jc w:val="right"/>
        </w:trPr>
        <w:tc>
          <w:tcPr>
            <w:tcW w:w="5422" w:type="dxa"/>
            <w:vAlign w:val="center"/>
          </w:tcPr>
          <w:p w14:paraId="76519F5F" w14:textId="69568BD6" w:rsidR="002A531F" w:rsidRPr="00B058D7" w:rsidRDefault="002A531F" w:rsidP="002A531F">
            <w:pPr>
              <w:tabs>
                <w:tab w:val="left" w:pos="270"/>
              </w:tabs>
              <w:jc w:val="both"/>
              <w:rPr>
                <w:rFonts w:ascii="Calibri" w:hAnsi="Calibri" w:cs="Calibri"/>
                <w:sz w:val="24"/>
                <w:szCs w:val="24"/>
              </w:rPr>
            </w:pPr>
            <w:r w:rsidRPr="00B058D7">
              <w:rPr>
                <w:rFonts w:ascii="Calibri" w:hAnsi="Calibri" w:cs="Calibri"/>
                <w:color w:val="000000"/>
                <w:sz w:val="24"/>
                <w:szCs w:val="24"/>
              </w:rPr>
              <w:t>Contribution from Nottinghamshire Business Rates Pool</w:t>
            </w:r>
          </w:p>
        </w:tc>
        <w:tc>
          <w:tcPr>
            <w:tcW w:w="1089" w:type="dxa"/>
            <w:vAlign w:val="center"/>
          </w:tcPr>
          <w:p w14:paraId="345BED6F" w14:textId="239D4DEA" w:rsidR="002A531F" w:rsidRPr="00B058D7" w:rsidRDefault="002A531F" w:rsidP="002A531F">
            <w:pPr>
              <w:jc w:val="right"/>
              <w:rPr>
                <w:rFonts w:ascii="Calibri" w:hAnsi="Calibri" w:cs="Calibri"/>
                <w:sz w:val="24"/>
                <w:szCs w:val="24"/>
              </w:rPr>
            </w:pPr>
            <w:r w:rsidRPr="00B058D7">
              <w:rPr>
                <w:rFonts w:ascii="Calibri" w:hAnsi="Calibri" w:cs="Calibri"/>
                <w:color w:val="FF0000"/>
                <w:sz w:val="24"/>
                <w:szCs w:val="24"/>
              </w:rPr>
              <w:t>(0.600)</w:t>
            </w:r>
          </w:p>
        </w:tc>
        <w:tc>
          <w:tcPr>
            <w:tcW w:w="1090" w:type="dxa"/>
            <w:vAlign w:val="center"/>
          </w:tcPr>
          <w:p w14:paraId="45B080C8" w14:textId="221F1F5A" w:rsidR="002A531F" w:rsidRPr="00B058D7" w:rsidRDefault="002A531F" w:rsidP="002A531F">
            <w:pPr>
              <w:jc w:val="right"/>
              <w:rPr>
                <w:rFonts w:ascii="Calibri" w:hAnsi="Calibri" w:cs="Calibri"/>
                <w:color w:val="FF0000"/>
                <w:sz w:val="24"/>
                <w:szCs w:val="24"/>
              </w:rPr>
            </w:pPr>
            <w:r w:rsidRPr="00B058D7">
              <w:rPr>
                <w:rFonts w:ascii="Calibri" w:hAnsi="Calibri" w:cs="Calibri"/>
                <w:sz w:val="24"/>
                <w:szCs w:val="24"/>
              </w:rPr>
              <w:t>-</w:t>
            </w:r>
          </w:p>
        </w:tc>
        <w:tc>
          <w:tcPr>
            <w:tcW w:w="1090" w:type="dxa"/>
            <w:vAlign w:val="center"/>
          </w:tcPr>
          <w:p w14:paraId="1F49611C" w14:textId="40B4FADB" w:rsidR="002A531F" w:rsidRPr="00B058D7" w:rsidRDefault="002A531F" w:rsidP="002A531F">
            <w:pPr>
              <w:jc w:val="right"/>
              <w:rPr>
                <w:rFonts w:ascii="Calibri" w:hAnsi="Calibri" w:cs="Calibri"/>
                <w:color w:val="FF0000"/>
                <w:sz w:val="24"/>
                <w:szCs w:val="24"/>
              </w:rPr>
            </w:pPr>
            <w:r w:rsidRPr="00B058D7">
              <w:rPr>
                <w:rFonts w:ascii="Calibri" w:hAnsi="Calibri" w:cs="Calibri"/>
                <w:sz w:val="24"/>
                <w:szCs w:val="24"/>
              </w:rPr>
              <w:t>-</w:t>
            </w:r>
          </w:p>
        </w:tc>
        <w:tc>
          <w:tcPr>
            <w:tcW w:w="1090" w:type="dxa"/>
            <w:vAlign w:val="center"/>
          </w:tcPr>
          <w:p w14:paraId="5D1F2A97" w14:textId="347A2FD0" w:rsidR="002A531F" w:rsidRPr="00B058D7" w:rsidRDefault="002A531F" w:rsidP="002A531F">
            <w:pPr>
              <w:jc w:val="right"/>
              <w:rPr>
                <w:rFonts w:ascii="Calibri" w:hAnsi="Calibri" w:cs="Calibri"/>
                <w:sz w:val="24"/>
                <w:szCs w:val="24"/>
              </w:rPr>
            </w:pPr>
            <w:r w:rsidRPr="00B058D7">
              <w:rPr>
                <w:rFonts w:ascii="Calibri" w:hAnsi="Calibri" w:cs="Calibri"/>
                <w:sz w:val="24"/>
                <w:szCs w:val="24"/>
              </w:rPr>
              <w:t>-</w:t>
            </w:r>
          </w:p>
        </w:tc>
      </w:tr>
      <w:tr w:rsidR="002A531F" w:rsidRPr="00B058D7" w14:paraId="16ACD8E0" w14:textId="77777777" w:rsidTr="00B058D7">
        <w:trPr>
          <w:jc w:val="right"/>
        </w:trPr>
        <w:tc>
          <w:tcPr>
            <w:tcW w:w="5422" w:type="dxa"/>
            <w:vAlign w:val="center"/>
          </w:tcPr>
          <w:p w14:paraId="30DD279F" w14:textId="554897C6" w:rsidR="002A531F" w:rsidRPr="00B058D7" w:rsidRDefault="002A531F" w:rsidP="002A531F">
            <w:pPr>
              <w:tabs>
                <w:tab w:val="left" w:pos="270"/>
              </w:tabs>
              <w:jc w:val="both"/>
              <w:rPr>
                <w:rFonts w:ascii="Calibri" w:hAnsi="Calibri" w:cs="Calibri"/>
                <w:sz w:val="24"/>
                <w:szCs w:val="24"/>
                <w:highlight w:val="yellow"/>
              </w:rPr>
            </w:pPr>
            <w:r w:rsidRPr="00B058D7">
              <w:rPr>
                <w:rFonts w:ascii="Calibri" w:hAnsi="Calibri" w:cs="Calibri"/>
                <w:color w:val="000000"/>
                <w:sz w:val="24"/>
                <w:szCs w:val="24"/>
              </w:rPr>
              <w:t xml:space="preserve">Dividends from </w:t>
            </w:r>
            <w:proofErr w:type="spellStart"/>
            <w:r w:rsidRPr="00B058D7">
              <w:rPr>
                <w:rFonts w:ascii="Calibri" w:hAnsi="Calibri" w:cs="Calibri"/>
                <w:color w:val="000000"/>
                <w:sz w:val="24"/>
                <w:szCs w:val="24"/>
              </w:rPr>
              <w:t>Arkwood</w:t>
            </w:r>
            <w:proofErr w:type="spellEnd"/>
            <w:r w:rsidRPr="00B058D7">
              <w:rPr>
                <w:rFonts w:ascii="Calibri" w:hAnsi="Calibri" w:cs="Calibri"/>
                <w:color w:val="000000"/>
                <w:sz w:val="24"/>
                <w:szCs w:val="24"/>
              </w:rPr>
              <w:t xml:space="preserve"> Developments Ltd</w:t>
            </w:r>
          </w:p>
        </w:tc>
        <w:tc>
          <w:tcPr>
            <w:tcW w:w="1089" w:type="dxa"/>
            <w:vAlign w:val="center"/>
          </w:tcPr>
          <w:p w14:paraId="2F45CE56" w14:textId="79499DD1" w:rsidR="002A531F" w:rsidRPr="00B058D7" w:rsidRDefault="002A531F" w:rsidP="002A531F">
            <w:pPr>
              <w:jc w:val="right"/>
              <w:rPr>
                <w:rFonts w:ascii="Calibri" w:hAnsi="Calibri" w:cs="Calibri"/>
                <w:sz w:val="24"/>
                <w:szCs w:val="24"/>
              </w:rPr>
            </w:pPr>
            <w:r w:rsidRPr="00B058D7">
              <w:rPr>
                <w:rFonts w:ascii="Calibri" w:hAnsi="Calibri" w:cs="Calibri"/>
                <w:sz w:val="24"/>
                <w:szCs w:val="24"/>
              </w:rPr>
              <w:t>-</w:t>
            </w:r>
          </w:p>
        </w:tc>
        <w:tc>
          <w:tcPr>
            <w:tcW w:w="1090" w:type="dxa"/>
            <w:vAlign w:val="center"/>
          </w:tcPr>
          <w:p w14:paraId="24098F56" w14:textId="4227341A" w:rsidR="002A531F" w:rsidRPr="00B058D7" w:rsidRDefault="002A531F" w:rsidP="002A531F">
            <w:pPr>
              <w:jc w:val="right"/>
              <w:rPr>
                <w:rFonts w:ascii="Calibri" w:hAnsi="Calibri" w:cs="Calibri"/>
                <w:sz w:val="24"/>
                <w:szCs w:val="24"/>
              </w:rPr>
            </w:pPr>
            <w:r w:rsidRPr="00B058D7">
              <w:rPr>
                <w:rFonts w:ascii="Calibri" w:hAnsi="Calibri" w:cs="Calibri"/>
                <w:color w:val="FF0000"/>
                <w:sz w:val="24"/>
                <w:szCs w:val="24"/>
              </w:rPr>
              <w:t>(0.500)</w:t>
            </w:r>
          </w:p>
        </w:tc>
        <w:tc>
          <w:tcPr>
            <w:tcW w:w="1090" w:type="dxa"/>
            <w:vAlign w:val="center"/>
          </w:tcPr>
          <w:p w14:paraId="1DCCA4C5" w14:textId="1A0960D3" w:rsidR="002A531F" w:rsidRPr="00B058D7" w:rsidRDefault="002A531F" w:rsidP="002A531F">
            <w:pPr>
              <w:jc w:val="right"/>
              <w:rPr>
                <w:rFonts w:ascii="Calibri" w:hAnsi="Calibri" w:cs="Calibri"/>
                <w:color w:val="FF0000"/>
                <w:sz w:val="24"/>
                <w:szCs w:val="24"/>
              </w:rPr>
            </w:pPr>
            <w:r w:rsidRPr="00B058D7">
              <w:rPr>
                <w:rFonts w:ascii="Calibri" w:hAnsi="Calibri" w:cs="Calibri"/>
                <w:color w:val="FF0000"/>
                <w:sz w:val="24"/>
                <w:szCs w:val="24"/>
              </w:rPr>
              <w:t>(0.500)</w:t>
            </w:r>
          </w:p>
        </w:tc>
        <w:tc>
          <w:tcPr>
            <w:tcW w:w="1090" w:type="dxa"/>
            <w:vAlign w:val="center"/>
          </w:tcPr>
          <w:p w14:paraId="4ED9DAD4" w14:textId="0D76D7F0" w:rsidR="002A531F" w:rsidRPr="00B058D7" w:rsidRDefault="002A531F" w:rsidP="002A531F">
            <w:pPr>
              <w:jc w:val="right"/>
              <w:rPr>
                <w:rFonts w:ascii="Calibri" w:hAnsi="Calibri" w:cs="Calibri"/>
                <w:color w:val="FF0000"/>
                <w:sz w:val="24"/>
                <w:szCs w:val="24"/>
              </w:rPr>
            </w:pPr>
            <w:r w:rsidRPr="00B058D7">
              <w:rPr>
                <w:rFonts w:ascii="Calibri" w:hAnsi="Calibri" w:cs="Calibri"/>
                <w:color w:val="FF0000"/>
                <w:sz w:val="24"/>
                <w:szCs w:val="24"/>
              </w:rPr>
              <w:t>(0.500)</w:t>
            </w:r>
          </w:p>
        </w:tc>
      </w:tr>
      <w:tr w:rsidR="002A531F" w:rsidRPr="00B058D7" w14:paraId="182E6028" w14:textId="77777777" w:rsidTr="00B058D7">
        <w:trPr>
          <w:jc w:val="right"/>
        </w:trPr>
        <w:tc>
          <w:tcPr>
            <w:tcW w:w="5422" w:type="dxa"/>
            <w:vAlign w:val="center"/>
          </w:tcPr>
          <w:p w14:paraId="0008C566" w14:textId="5817E2D0" w:rsidR="002A531F" w:rsidRPr="00B058D7" w:rsidRDefault="002A531F" w:rsidP="002A531F">
            <w:pPr>
              <w:tabs>
                <w:tab w:val="left" w:pos="270"/>
              </w:tabs>
              <w:jc w:val="both"/>
              <w:rPr>
                <w:rFonts w:ascii="Calibri" w:hAnsi="Calibri" w:cs="Calibri"/>
                <w:sz w:val="24"/>
                <w:szCs w:val="24"/>
                <w:highlight w:val="yellow"/>
              </w:rPr>
            </w:pPr>
            <w:r w:rsidRPr="00B058D7">
              <w:rPr>
                <w:rFonts w:ascii="Calibri" w:hAnsi="Calibri" w:cs="Calibri"/>
                <w:color w:val="000000"/>
                <w:sz w:val="24"/>
                <w:szCs w:val="24"/>
              </w:rPr>
              <w:t>Savings from service reviews</w:t>
            </w:r>
          </w:p>
        </w:tc>
        <w:tc>
          <w:tcPr>
            <w:tcW w:w="1089" w:type="dxa"/>
            <w:vAlign w:val="center"/>
          </w:tcPr>
          <w:p w14:paraId="6B897A1F" w14:textId="6CC9600C" w:rsidR="002A531F" w:rsidRPr="00B058D7" w:rsidRDefault="002A531F" w:rsidP="002A531F">
            <w:pPr>
              <w:jc w:val="right"/>
              <w:rPr>
                <w:rFonts w:ascii="Calibri" w:hAnsi="Calibri" w:cs="Calibri"/>
                <w:sz w:val="24"/>
                <w:szCs w:val="24"/>
              </w:rPr>
            </w:pPr>
            <w:r w:rsidRPr="00B058D7">
              <w:rPr>
                <w:rFonts w:ascii="Calibri" w:hAnsi="Calibri" w:cs="Calibri"/>
                <w:sz w:val="24"/>
                <w:szCs w:val="24"/>
              </w:rPr>
              <w:t>-</w:t>
            </w:r>
          </w:p>
        </w:tc>
        <w:tc>
          <w:tcPr>
            <w:tcW w:w="1090" w:type="dxa"/>
            <w:vAlign w:val="center"/>
          </w:tcPr>
          <w:p w14:paraId="141EED94" w14:textId="57C12251" w:rsidR="002A531F" w:rsidRPr="00B058D7" w:rsidRDefault="002A531F" w:rsidP="002A531F">
            <w:pPr>
              <w:jc w:val="right"/>
              <w:rPr>
                <w:rFonts w:ascii="Calibri" w:hAnsi="Calibri" w:cs="Calibri"/>
                <w:sz w:val="24"/>
                <w:szCs w:val="24"/>
              </w:rPr>
            </w:pPr>
            <w:r w:rsidRPr="00B058D7">
              <w:rPr>
                <w:rFonts w:ascii="Calibri" w:hAnsi="Calibri" w:cs="Calibri"/>
                <w:sz w:val="24"/>
                <w:szCs w:val="24"/>
              </w:rPr>
              <w:t>-</w:t>
            </w:r>
          </w:p>
        </w:tc>
        <w:tc>
          <w:tcPr>
            <w:tcW w:w="1090" w:type="dxa"/>
            <w:vAlign w:val="center"/>
          </w:tcPr>
          <w:p w14:paraId="018D00B0" w14:textId="05ACE3E7" w:rsidR="002A531F" w:rsidRPr="00B058D7" w:rsidRDefault="002A531F" w:rsidP="002A531F">
            <w:pPr>
              <w:jc w:val="right"/>
              <w:rPr>
                <w:rFonts w:ascii="Calibri" w:hAnsi="Calibri" w:cs="Calibri"/>
                <w:color w:val="FF0000"/>
                <w:sz w:val="24"/>
                <w:szCs w:val="24"/>
              </w:rPr>
            </w:pPr>
            <w:r w:rsidRPr="00B058D7">
              <w:rPr>
                <w:rFonts w:ascii="Calibri" w:hAnsi="Calibri" w:cs="Calibri"/>
                <w:color w:val="FF0000"/>
                <w:sz w:val="24"/>
                <w:szCs w:val="24"/>
              </w:rPr>
              <w:t>(0.100)</w:t>
            </w:r>
          </w:p>
        </w:tc>
        <w:tc>
          <w:tcPr>
            <w:tcW w:w="1090" w:type="dxa"/>
            <w:vAlign w:val="center"/>
          </w:tcPr>
          <w:p w14:paraId="19602313" w14:textId="75A7C7DF" w:rsidR="002A531F" w:rsidRPr="00B058D7" w:rsidRDefault="002A531F" w:rsidP="002A531F">
            <w:pPr>
              <w:jc w:val="right"/>
              <w:rPr>
                <w:rFonts w:ascii="Calibri" w:hAnsi="Calibri" w:cs="Calibri"/>
                <w:color w:val="FF0000"/>
                <w:sz w:val="24"/>
                <w:szCs w:val="24"/>
              </w:rPr>
            </w:pPr>
            <w:r w:rsidRPr="00B058D7">
              <w:rPr>
                <w:rFonts w:ascii="Calibri" w:hAnsi="Calibri" w:cs="Calibri"/>
                <w:color w:val="FF0000"/>
                <w:sz w:val="24"/>
                <w:szCs w:val="24"/>
              </w:rPr>
              <w:t>(0.100)</w:t>
            </w:r>
          </w:p>
        </w:tc>
      </w:tr>
      <w:tr w:rsidR="002A531F" w:rsidRPr="00B058D7" w14:paraId="3692EE45" w14:textId="77777777" w:rsidTr="00B058D7">
        <w:trPr>
          <w:jc w:val="right"/>
        </w:trPr>
        <w:tc>
          <w:tcPr>
            <w:tcW w:w="5422" w:type="dxa"/>
            <w:vAlign w:val="center"/>
          </w:tcPr>
          <w:p w14:paraId="462B8BC0" w14:textId="1961B323" w:rsidR="002A531F" w:rsidRPr="00B058D7" w:rsidRDefault="002A531F" w:rsidP="002A531F">
            <w:pPr>
              <w:tabs>
                <w:tab w:val="left" w:pos="270"/>
              </w:tabs>
              <w:jc w:val="both"/>
              <w:rPr>
                <w:rFonts w:ascii="Calibri" w:hAnsi="Calibri" w:cs="Calibri"/>
                <w:sz w:val="24"/>
                <w:szCs w:val="24"/>
                <w:highlight w:val="yellow"/>
              </w:rPr>
            </w:pPr>
            <w:r w:rsidRPr="00B058D7">
              <w:rPr>
                <w:rFonts w:ascii="Calibri" w:hAnsi="Calibri" w:cs="Calibri"/>
                <w:color w:val="000000"/>
                <w:sz w:val="24"/>
                <w:szCs w:val="24"/>
              </w:rPr>
              <w:t>Savings/efficiencies from making business processes more efficient</w:t>
            </w:r>
          </w:p>
        </w:tc>
        <w:tc>
          <w:tcPr>
            <w:tcW w:w="1089" w:type="dxa"/>
            <w:vAlign w:val="center"/>
          </w:tcPr>
          <w:p w14:paraId="0F9D2333" w14:textId="13E22B88" w:rsidR="002A531F" w:rsidRPr="00B058D7" w:rsidRDefault="002A531F" w:rsidP="002A531F">
            <w:pPr>
              <w:jc w:val="right"/>
              <w:rPr>
                <w:rFonts w:ascii="Calibri" w:hAnsi="Calibri" w:cs="Calibri"/>
                <w:sz w:val="24"/>
                <w:szCs w:val="24"/>
              </w:rPr>
            </w:pPr>
            <w:r w:rsidRPr="00B058D7">
              <w:rPr>
                <w:rFonts w:ascii="Calibri" w:hAnsi="Calibri" w:cs="Calibri"/>
                <w:sz w:val="24"/>
                <w:szCs w:val="24"/>
              </w:rPr>
              <w:t>-</w:t>
            </w:r>
          </w:p>
        </w:tc>
        <w:tc>
          <w:tcPr>
            <w:tcW w:w="1090" w:type="dxa"/>
            <w:vAlign w:val="center"/>
          </w:tcPr>
          <w:p w14:paraId="1A5C209D" w14:textId="095B63D7" w:rsidR="002A531F" w:rsidRPr="00B058D7" w:rsidRDefault="002A531F" w:rsidP="002A531F">
            <w:pPr>
              <w:jc w:val="right"/>
              <w:rPr>
                <w:rFonts w:ascii="Calibri" w:hAnsi="Calibri" w:cs="Calibri"/>
                <w:sz w:val="24"/>
                <w:szCs w:val="24"/>
              </w:rPr>
            </w:pPr>
            <w:r w:rsidRPr="00B058D7">
              <w:rPr>
                <w:rFonts w:ascii="Calibri" w:hAnsi="Calibri" w:cs="Calibri"/>
                <w:color w:val="FF0000"/>
                <w:sz w:val="24"/>
                <w:szCs w:val="24"/>
              </w:rPr>
              <w:t>(0.100)</w:t>
            </w:r>
          </w:p>
        </w:tc>
        <w:tc>
          <w:tcPr>
            <w:tcW w:w="1090" w:type="dxa"/>
            <w:vAlign w:val="center"/>
          </w:tcPr>
          <w:p w14:paraId="5B5BECA4" w14:textId="523FAA89" w:rsidR="002A531F" w:rsidRPr="00B058D7" w:rsidRDefault="002A531F" w:rsidP="002A531F">
            <w:pPr>
              <w:jc w:val="right"/>
              <w:rPr>
                <w:rFonts w:ascii="Calibri" w:hAnsi="Calibri" w:cs="Calibri"/>
                <w:sz w:val="24"/>
                <w:szCs w:val="24"/>
              </w:rPr>
            </w:pPr>
            <w:r w:rsidRPr="00B058D7">
              <w:rPr>
                <w:rFonts w:ascii="Calibri" w:hAnsi="Calibri" w:cs="Calibri"/>
                <w:color w:val="FF0000"/>
                <w:sz w:val="24"/>
                <w:szCs w:val="24"/>
              </w:rPr>
              <w:t>(0.200)</w:t>
            </w:r>
          </w:p>
        </w:tc>
        <w:tc>
          <w:tcPr>
            <w:tcW w:w="1090" w:type="dxa"/>
            <w:vAlign w:val="center"/>
          </w:tcPr>
          <w:p w14:paraId="709245F6" w14:textId="549C0FAE" w:rsidR="002A531F" w:rsidRPr="00B058D7" w:rsidRDefault="002A531F" w:rsidP="002A531F">
            <w:pPr>
              <w:jc w:val="right"/>
              <w:rPr>
                <w:rFonts w:ascii="Calibri" w:hAnsi="Calibri" w:cs="Calibri"/>
                <w:color w:val="FF0000"/>
                <w:sz w:val="24"/>
                <w:szCs w:val="24"/>
              </w:rPr>
            </w:pPr>
            <w:r w:rsidRPr="00B058D7">
              <w:rPr>
                <w:rFonts w:ascii="Calibri" w:hAnsi="Calibri" w:cs="Calibri"/>
                <w:color w:val="FF0000"/>
                <w:sz w:val="24"/>
                <w:szCs w:val="24"/>
              </w:rPr>
              <w:t>(0.200)</w:t>
            </w:r>
          </w:p>
        </w:tc>
      </w:tr>
      <w:tr w:rsidR="002A531F" w:rsidRPr="00B058D7" w14:paraId="1C4E9D5F" w14:textId="77777777" w:rsidTr="00B058D7">
        <w:trPr>
          <w:jc w:val="right"/>
        </w:trPr>
        <w:tc>
          <w:tcPr>
            <w:tcW w:w="5422" w:type="dxa"/>
            <w:vAlign w:val="center"/>
          </w:tcPr>
          <w:p w14:paraId="22D31EB4" w14:textId="1A5E4ED4" w:rsidR="002A531F" w:rsidRPr="00B058D7" w:rsidRDefault="002A531F" w:rsidP="002A531F">
            <w:pPr>
              <w:tabs>
                <w:tab w:val="left" w:pos="270"/>
              </w:tabs>
              <w:jc w:val="both"/>
              <w:rPr>
                <w:rFonts w:ascii="Calibri" w:hAnsi="Calibri" w:cs="Calibri"/>
                <w:sz w:val="24"/>
                <w:szCs w:val="24"/>
                <w:highlight w:val="yellow"/>
              </w:rPr>
            </w:pPr>
            <w:r w:rsidRPr="00B058D7">
              <w:rPr>
                <w:rFonts w:ascii="Calibri" w:hAnsi="Calibri" w:cs="Calibri"/>
                <w:color w:val="000000"/>
                <w:sz w:val="24"/>
                <w:szCs w:val="24"/>
              </w:rPr>
              <w:lastRenderedPageBreak/>
              <w:t>Increased income from the council becoming more commercial</w:t>
            </w:r>
          </w:p>
        </w:tc>
        <w:tc>
          <w:tcPr>
            <w:tcW w:w="1089" w:type="dxa"/>
            <w:vAlign w:val="center"/>
          </w:tcPr>
          <w:p w14:paraId="184DA813" w14:textId="17715396" w:rsidR="002A531F" w:rsidRPr="00B058D7" w:rsidRDefault="002A531F" w:rsidP="002A531F">
            <w:pPr>
              <w:jc w:val="right"/>
              <w:rPr>
                <w:rFonts w:ascii="Calibri" w:hAnsi="Calibri" w:cs="Calibri"/>
                <w:sz w:val="24"/>
                <w:szCs w:val="24"/>
              </w:rPr>
            </w:pPr>
            <w:r w:rsidRPr="00B058D7">
              <w:rPr>
                <w:rFonts w:ascii="Calibri" w:hAnsi="Calibri" w:cs="Calibri"/>
                <w:sz w:val="24"/>
                <w:szCs w:val="24"/>
              </w:rPr>
              <w:t>-</w:t>
            </w:r>
          </w:p>
        </w:tc>
        <w:tc>
          <w:tcPr>
            <w:tcW w:w="1090" w:type="dxa"/>
            <w:vAlign w:val="center"/>
          </w:tcPr>
          <w:p w14:paraId="76359BB8" w14:textId="2F0B1538" w:rsidR="002A531F" w:rsidRPr="00B058D7" w:rsidRDefault="002A531F" w:rsidP="002A531F">
            <w:pPr>
              <w:jc w:val="right"/>
              <w:rPr>
                <w:rFonts w:ascii="Calibri" w:hAnsi="Calibri" w:cs="Calibri"/>
                <w:sz w:val="24"/>
                <w:szCs w:val="24"/>
              </w:rPr>
            </w:pPr>
            <w:r w:rsidRPr="00B058D7">
              <w:rPr>
                <w:rFonts w:ascii="Calibri" w:hAnsi="Calibri" w:cs="Calibri"/>
                <w:color w:val="FF0000"/>
                <w:sz w:val="24"/>
                <w:szCs w:val="24"/>
              </w:rPr>
              <w:t>(0.100)</w:t>
            </w:r>
          </w:p>
        </w:tc>
        <w:tc>
          <w:tcPr>
            <w:tcW w:w="1090" w:type="dxa"/>
            <w:vAlign w:val="center"/>
          </w:tcPr>
          <w:p w14:paraId="01A3D23E" w14:textId="5F20432E" w:rsidR="002A531F" w:rsidRPr="00B058D7" w:rsidRDefault="002A531F" w:rsidP="002A531F">
            <w:pPr>
              <w:jc w:val="right"/>
              <w:rPr>
                <w:rFonts w:ascii="Calibri" w:hAnsi="Calibri" w:cs="Calibri"/>
                <w:color w:val="FF0000"/>
                <w:sz w:val="24"/>
                <w:szCs w:val="24"/>
              </w:rPr>
            </w:pPr>
            <w:r w:rsidRPr="00B058D7">
              <w:rPr>
                <w:rFonts w:ascii="Calibri" w:hAnsi="Calibri" w:cs="Calibri"/>
                <w:color w:val="FF0000"/>
                <w:sz w:val="24"/>
                <w:szCs w:val="24"/>
              </w:rPr>
              <w:t>(0.200)</w:t>
            </w:r>
          </w:p>
        </w:tc>
        <w:tc>
          <w:tcPr>
            <w:tcW w:w="1090" w:type="dxa"/>
            <w:vAlign w:val="center"/>
          </w:tcPr>
          <w:p w14:paraId="04C53353" w14:textId="60BA77F5" w:rsidR="002A531F" w:rsidRPr="00B058D7" w:rsidRDefault="002A531F" w:rsidP="002A531F">
            <w:pPr>
              <w:jc w:val="right"/>
              <w:rPr>
                <w:rFonts w:ascii="Calibri" w:hAnsi="Calibri" w:cs="Calibri"/>
                <w:color w:val="FF0000"/>
                <w:sz w:val="24"/>
                <w:szCs w:val="24"/>
              </w:rPr>
            </w:pPr>
            <w:r w:rsidRPr="00B058D7">
              <w:rPr>
                <w:rFonts w:ascii="Calibri" w:hAnsi="Calibri" w:cs="Calibri"/>
                <w:color w:val="FF0000"/>
                <w:sz w:val="24"/>
                <w:szCs w:val="24"/>
              </w:rPr>
              <w:t>(0.200)</w:t>
            </w:r>
          </w:p>
        </w:tc>
      </w:tr>
      <w:tr w:rsidR="002A531F" w:rsidRPr="00B058D7" w14:paraId="22001988" w14:textId="77777777" w:rsidTr="00B058D7">
        <w:trPr>
          <w:jc w:val="right"/>
        </w:trPr>
        <w:tc>
          <w:tcPr>
            <w:tcW w:w="5422" w:type="dxa"/>
            <w:vAlign w:val="center"/>
          </w:tcPr>
          <w:p w14:paraId="623F4215" w14:textId="688FC797" w:rsidR="002A531F" w:rsidRPr="00B058D7" w:rsidRDefault="002A531F" w:rsidP="002A531F">
            <w:pPr>
              <w:tabs>
                <w:tab w:val="left" w:pos="270"/>
              </w:tabs>
              <w:jc w:val="both"/>
              <w:rPr>
                <w:rFonts w:ascii="Calibri" w:hAnsi="Calibri" w:cs="Calibri"/>
                <w:color w:val="000000"/>
                <w:sz w:val="24"/>
                <w:szCs w:val="24"/>
              </w:rPr>
            </w:pPr>
            <w:r w:rsidRPr="00B058D7">
              <w:rPr>
                <w:rFonts w:ascii="Calibri" w:hAnsi="Calibri" w:cs="Calibri"/>
                <w:color w:val="000000"/>
                <w:sz w:val="24"/>
                <w:szCs w:val="24"/>
              </w:rPr>
              <w:t>Rental income from town centre regeneration</w:t>
            </w:r>
          </w:p>
        </w:tc>
        <w:tc>
          <w:tcPr>
            <w:tcW w:w="1089" w:type="dxa"/>
            <w:vAlign w:val="center"/>
          </w:tcPr>
          <w:p w14:paraId="2FD702FC" w14:textId="415A3AE5" w:rsidR="002A531F" w:rsidRPr="00B058D7" w:rsidRDefault="002A531F" w:rsidP="002A531F">
            <w:pPr>
              <w:jc w:val="right"/>
              <w:rPr>
                <w:rFonts w:ascii="Calibri" w:hAnsi="Calibri" w:cs="Calibri"/>
                <w:sz w:val="24"/>
                <w:szCs w:val="24"/>
              </w:rPr>
            </w:pPr>
            <w:r w:rsidRPr="00B058D7">
              <w:rPr>
                <w:rFonts w:ascii="Calibri" w:hAnsi="Calibri" w:cs="Calibri"/>
                <w:sz w:val="24"/>
                <w:szCs w:val="24"/>
              </w:rPr>
              <w:t>-</w:t>
            </w:r>
          </w:p>
        </w:tc>
        <w:tc>
          <w:tcPr>
            <w:tcW w:w="1090" w:type="dxa"/>
            <w:vAlign w:val="center"/>
          </w:tcPr>
          <w:p w14:paraId="669A51D7" w14:textId="2BE6487B" w:rsidR="002A531F" w:rsidRPr="00B058D7" w:rsidRDefault="002A531F" w:rsidP="002A531F">
            <w:pPr>
              <w:jc w:val="right"/>
              <w:rPr>
                <w:rFonts w:ascii="Calibri" w:hAnsi="Calibri" w:cs="Calibri"/>
                <w:sz w:val="24"/>
                <w:szCs w:val="24"/>
              </w:rPr>
            </w:pPr>
            <w:r w:rsidRPr="00B058D7">
              <w:rPr>
                <w:rFonts w:ascii="Calibri" w:hAnsi="Calibri" w:cs="Calibri"/>
                <w:sz w:val="24"/>
                <w:szCs w:val="24"/>
              </w:rPr>
              <w:t>-</w:t>
            </w:r>
          </w:p>
        </w:tc>
        <w:tc>
          <w:tcPr>
            <w:tcW w:w="1090" w:type="dxa"/>
            <w:vAlign w:val="center"/>
          </w:tcPr>
          <w:p w14:paraId="49428C35" w14:textId="494D8295" w:rsidR="002A531F" w:rsidRPr="00B058D7" w:rsidRDefault="002A531F" w:rsidP="002A531F">
            <w:pPr>
              <w:jc w:val="right"/>
              <w:rPr>
                <w:rFonts w:ascii="Calibri" w:hAnsi="Calibri" w:cs="Calibri"/>
                <w:color w:val="FF0000"/>
                <w:sz w:val="24"/>
                <w:szCs w:val="24"/>
              </w:rPr>
            </w:pPr>
            <w:r w:rsidRPr="00B058D7">
              <w:rPr>
                <w:rFonts w:ascii="Calibri" w:hAnsi="Calibri" w:cs="Calibri"/>
                <w:color w:val="FF0000"/>
                <w:sz w:val="24"/>
                <w:szCs w:val="24"/>
              </w:rPr>
              <w:t>(0.150)</w:t>
            </w:r>
          </w:p>
        </w:tc>
        <w:tc>
          <w:tcPr>
            <w:tcW w:w="1090" w:type="dxa"/>
            <w:vAlign w:val="center"/>
          </w:tcPr>
          <w:p w14:paraId="1909A4B3" w14:textId="72E9F8DE" w:rsidR="002A531F" w:rsidRPr="00B058D7" w:rsidRDefault="002A531F" w:rsidP="002A531F">
            <w:pPr>
              <w:jc w:val="right"/>
              <w:rPr>
                <w:rFonts w:ascii="Calibri" w:hAnsi="Calibri" w:cs="Calibri"/>
                <w:color w:val="FF0000"/>
                <w:sz w:val="24"/>
                <w:szCs w:val="24"/>
              </w:rPr>
            </w:pPr>
            <w:r w:rsidRPr="00B058D7">
              <w:rPr>
                <w:rFonts w:ascii="Calibri" w:hAnsi="Calibri" w:cs="Calibri"/>
                <w:color w:val="FF0000"/>
                <w:sz w:val="24"/>
                <w:szCs w:val="24"/>
              </w:rPr>
              <w:t>(0.150)</w:t>
            </w:r>
          </w:p>
        </w:tc>
      </w:tr>
      <w:tr w:rsidR="00240C02" w:rsidRPr="00B058D7" w14:paraId="3698C2D0" w14:textId="77777777" w:rsidTr="00B058D7">
        <w:trPr>
          <w:jc w:val="right"/>
        </w:trPr>
        <w:tc>
          <w:tcPr>
            <w:tcW w:w="5422" w:type="dxa"/>
            <w:vAlign w:val="center"/>
          </w:tcPr>
          <w:p w14:paraId="2572E83C" w14:textId="090DCEFF" w:rsidR="00240C02" w:rsidRPr="00B058D7" w:rsidRDefault="00240C02" w:rsidP="00240C02">
            <w:pPr>
              <w:tabs>
                <w:tab w:val="left" w:pos="270"/>
              </w:tabs>
              <w:jc w:val="both"/>
              <w:rPr>
                <w:rFonts w:ascii="Calibri" w:hAnsi="Calibri" w:cs="Calibri"/>
                <w:b/>
                <w:sz w:val="24"/>
                <w:szCs w:val="24"/>
              </w:rPr>
            </w:pPr>
            <w:r w:rsidRPr="00B058D7">
              <w:rPr>
                <w:rFonts w:ascii="Calibri" w:hAnsi="Calibri" w:cs="Calibri"/>
                <w:b/>
                <w:sz w:val="24"/>
                <w:szCs w:val="24"/>
              </w:rPr>
              <w:t xml:space="preserve">Contribution </w:t>
            </w:r>
            <w:r w:rsidRPr="00B058D7">
              <w:rPr>
                <w:rFonts w:ascii="Calibri" w:hAnsi="Calibri" w:cs="Calibri"/>
                <w:b/>
                <w:color w:val="FF0000"/>
                <w:sz w:val="24"/>
                <w:szCs w:val="24"/>
              </w:rPr>
              <w:t>(to)</w:t>
            </w:r>
            <w:r w:rsidRPr="00B058D7">
              <w:rPr>
                <w:rFonts w:ascii="Calibri" w:hAnsi="Calibri" w:cs="Calibri"/>
                <w:b/>
                <w:sz w:val="24"/>
                <w:szCs w:val="24"/>
              </w:rPr>
              <w:t xml:space="preserve"> or from MTFP reserve, after proposed mitigations above</w:t>
            </w:r>
          </w:p>
        </w:tc>
        <w:tc>
          <w:tcPr>
            <w:tcW w:w="1089" w:type="dxa"/>
            <w:vAlign w:val="center"/>
          </w:tcPr>
          <w:p w14:paraId="4443FB25" w14:textId="4803C134" w:rsidR="00240C02" w:rsidRPr="00B058D7" w:rsidRDefault="00240C02" w:rsidP="00240C02">
            <w:pPr>
              <w:jc w:val="right"/>
              <w:rPr>
                <w:rFonts w:ascii="Calibri" w:hAnsi="Calibri" w:cs="Calibri"/>
                <w:b/>
                <w:sz w:val="24"/>
                <w:szCs w:val="24"/>
              </w:rPr>
            </w:pPr>
            <w:r w:rsidRPr="00B058D7">
              <w:rPr>
                <w:rFonts w:ascii="Calibri" w:hAnsi="Calibri" w:cs="Calibri"/>
                <w:b/>
                <w:sz w:val="24"/>
                <w:szCs w:val="24"/>
              </w:rPr>
              <w:t>0.000</w:t>
            </w:r>
          </w:p>
        </w:tc>
        <w:tc>
          <w:tcPr>
            <w:tcW w:w="1090" w:type="dxa"/>
            <w:vAlign w:val="center"/>
          </w:tcPr>
          <w:p w14:paraId="7F06A0DD" w14:textId="5075DFDB" w:rsidR="00240C02" w:rsidRPr="00B058D7" w:rsidRDefault="00240C02" w:rsidP="00240C02">
            <w:pPr>
              <w:jc w:val="right"/>
              <w:rPr>
                <w:rFonts w:ascii="Calibri" w:hAnsi="Calibri" w:cs="Calibri"/>
                <w:b/>
                <w:sz w:val="24"/>
                <w:szCs w:val="24"/>
              </w:rPr>
            </w:pPr>
            <w:r w:rsidRPr="00B058D7">
              <w:rPr>
                <w:rFonts w:ascii="Calibri" w:hAnsi="Calibri" w:cs="Calibri"/>
                <w:b/>
                <w:sz w:val="24"/>
                <w:szCs w:val="24"/>
              </w:rPr>
              <w:t>0.000</w:t>
            </w:r>
          </w:p>
        </w:tc>
        <w:tc>
          <w:tcPr>
            <w:tcW w:w="1090" w:type="dxa"/>
            <w:vAlign w:val="center"/>
          </w:tcPr>
          <w:p w14:paraId="3C564A1A" w14:textId="572FDA9C" w:rsidR="00240C02" w:rsidRPr="00B058D7" w:rsidRDefault="00240C02" w:rsidP="00240C02">
            <w:pPr>
              <w:jc w:val="right"/>
              <w:rPr>
                <w:rFonts w:ascii="Calibri" w:hAnsi="Calibri" w:cs="Calibri"/>
                <w:b/>
                <w:sz w:val="24"/>
                <w:szCs w:val="24"/>
              </w:rPr>
            </w:pPr>
            <w:r w:rsidRPr="00B058D7">
              <w:rPr>
                <w:rFonts w:ascii="Calibri" w:hAnsi="Calibri" w:cs="Calibri"/>
                <w:b/>
                <w:sz w:val="24"/>
                <w:szCs w:val="24"/>
              </w:rPr>
              <w:t>0.000</w:t>
            </w:r>
          </w:p>
        </w:tc>
        <w:tc>
          <w:tcPr>
            <w:tcW w:w="1090" w:type="dxa"/>
            <w:vAlign w:val="center"/>
          </w:tcPr>
          <w:p w14:paraId="55659F2F" w14:textId="59091CC1" w:rsidR="00240C02" w:rsidRPr="00B058D7" w:rsidRDefault="00240C02" w:rsidP="00240C02">
            <w:pPr>
              <w:jc w:val="right"/>
              <w:rPr>
                <w:rFonts w:ascii="Calibri" w:hAnsi="Calibri" w:cs="Calibri"/>
                <w:b/>
                <w:sz w:val="24"/>
                <w:szCs w:val="24"/>
              </w:rPr>
            </w:pPr>
            <w:r w:rsidRPr="00B058D7">
              <w:rPr>
                <w:rFonts w:ascii="Calibri" w:hAnsi="Calibri" w:cs="Calibri"/>
                <w:b/>
                <w:sz w:val="24"/>
                <w:szCs w:val="24"/>
              </w:rPr>
              <w:t>0.896</w:t>
            </w:r>
          </w:p>
        </w:tc>
      </w:tr>
    </w:tbl>
    <w:p w14:paraId="1D767F41" w14:textId="5B172823" w:rsidR="00483CE6" w:rsidRPr="00B058D7" w:rsidRDefault="00483CE6" w:rsidP="003F2B4F">
      <w:pPr>
        <w:spacing w:after="0" w:line="240" w:lineRule="auto"/>
        <w:jc w:val="both"/>
        <w:rPr>
          <w:rFonts w:ascii="Calibri" w:hAnsi="Calibri" w:cs="Calibri"/>
          <w:sz w:val="24"/>
          <w:szCs w:val="24"/>
        </w:rPr>
      </w:pPr>
    </w:p>
    <w:p w14:paraId="0CBC057E" w14:textId="632128A4" w:rsidR="007F621E" w:rsidRPr="00B058D7" w:rsidRDefault="007F621E" w:rsidP="007F621E">
      <w:pPr>
        <w:spacing w:after="0" w:line="240" w:lineRule="auto"/>
        <w:jc w:val="both"/>
        <w:rPr>
          <w:rFonts w:ascii="Calibri" w:hAnsi="Calibri" w:cs="Calibri"/>
          <w:sz w:val="24"/>
          <w:szCs w:val="24"/>
        </w:rPr>
      </w:pPr>
      <w:r w:rsidRPr="00B058D7">
        <w:rPr>
          <w:rFonts w:ascii="Calibri" w:hAnsi="Calibri" w:cs="Calibri"/>
          <w:sz w:val="24"/>
          <w:szCs w:val="24"/>
        </w:rPr>
        <w:t xml:space="preserve">The table shows a total anticipated shortfall of </w:t>
      </w:r>
      <w:r w:rsidR="005E770A" w:rsidRPr="00B058D7">
        <w:rPr>
          <w:rFonts w:ascii="Calibri" w:hAnsi="Calibri" w:cs="Calibri"/>
          <w:sz w:val="24"/>
          <w:szCs w:val="24"/>
        </w:rPr>
        <w:t>£0</w:t>
      </w:r>
      <w:r w:rsidRPr="00B058D7">
        <w:rPr>
          <w:rFonts w:ascii="Calibri" w:hAnsi="Calibri" w:cs="Calibri"/>
          <w:sz w:val="24"/>
          <w:szCs w:val="24"/>
        </w:rPr>
        <w:t>.</w:t>
      </w:r>
      <w:r w:rsidR="00645ACB" w:rsidRPr="00B058D7">
        <w:rPr>
          <w:rFonts w:ascii="Calibri" w:hAnsi="Calibri" w:cs="Calibri"/>
          <w:sz w:val="24"/>
          <w:szCs w:val="24"/>
        </w:rPr>
        <w:t>8</w:t>
      </w:r>
      <w:r w:rsidR="004B17BA" w:rsidRPr="00B058D7">
        <w:rPr>
          <w:rFonts w:ascii="Calibri" w:hAnsi="Calibri" w:cs="Calibri"/>
          <w:sz w:val="24"/>
          <w:szCs w:val="24"/>
        </w:rPr>
        <w:t>96</w:t>
      </w:r>
      <w:r w:rsidRPr="00B058D7">
        <w:rPr>
          <w:rFonts w:ascii="Calibri" w:hAnsi="Calibri" w:cs="Calibri"/>
          <w:sz w:val="24"/>
          <w:szCs w:val="24"/>
        </w:rPr>
        <w:t>m in funding over the four-year period. Forecasts of anticipated efficiencies and additional income have been updated from the 202</w:t>
      </w:r>
      <w:r w:rsidR="00065ADF" w:rsidRPr="00B058D7">
        <w:rPr>
          <w:rFonts w:ascii="Calibri" w:hAnsi="Calibri" w:cs="Calibri"/>
          <w:sz w:val="24"/>
          <w:szCs w:val="24"/>
        </w:rPr>
        <w:t>1/25 MTFP approved on 9</w:t>
      </w:r>
      <w:r w:rsidRPr="00B058D7">
        <w:rPr>
          <w:rFonts w:ascii="Calibri" w:hAnsi="Calibri" w:cs="Calibri"/>
          <w:sz w:val="24"/>
          <w:szCs w:val="24"/>
        </w:rPr>
        <w:t xml:space="preserve"> March 202</w:t>
      </w:r>
      <w:r w:rsidR="00065ADF" w:rsidRPr="00B058D7">
        <w:rPr>
          <w:rFonts w:ascii="Calibri" w:hAnsi="Calibri" w:cs="Calibri"/>
          <w:sz w:val="24"/>
          <w:szCs w:val="24"/>
        </w:rPr>
        <w:t>1</w:t>
      </w:r>
      <w:r w:rsidRPr="00B058D7">
        <w:rPr>
          <w:rFonts w:ascii="Calibri" w:hAnsi="Calibri" w:cs="Calibri"/>
          <w:sz w:val="24"/>
          <w:szCs w:val="24"/>
        </w:rPr>
        <w:t>.</w:t>
      </w:r>
    </w:p>
    <w:p w14:paraId="4D73A002" w14:textId="67CE4703" w:rsidR="00953B01" w:rsidRPr="00B058D7" w:rsidRDefault="00953B01" w:rsidP="007F621E">
      <w:pPr>
        <w:spacing w:after="0" w:line="240" w:lineRule="auto"/>
        <w:jc w:val="both"/>
        <w:rPr>
          <w:rFonts w:ascii="Calibri" w:hAnsi="Calibri" w:cs="Calibri"/>
          <w:sz w:val="24"/>
          <w:szCs w:val="24"/>
        </w:rPr>
      </w:pPr>
    </w:p>
    <w:p w14:paraId="174E568F"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The equivalent table above was presented in the MTFP approved at Council on 9 March 2021, which identified that for the production of the 2022/23 budget £0.100m was due to be generated in savings from service reviews. This has been completed with the deletion of the Business Manager – Legal Services post and the flexible retirement of the Business Manager – Revenues and Benefits. The table above has therefore removed £0.100m of the requirement in the future years.</w:t>
      </w:r>
    </w:p>
    <w:p w14:paraId="335B6CC3" w14:textId="77777777" w:rsidR="00AE6CAF" w:rsidRPr="00B058D7" w:rsidRDefault="00AE6CAF" w:rsidP="00AE6CAF">
      <w:pPr>
        <w:spacing w:after="0" w:line="240" w:lineRule="auto"/>
        <w:jc w:val="both"/>
        <w:rPr>
          <w:rFonts w:ascii="Calibri" w:hAnsi="Calibri" w:cs="Calibri"/>
          <w:sz w:val="24"/>
          <w:szCs w:val="24"/>
        </w:rPr>
      </w:pPr>
    </w:p>
    <w:p w14:paraId="55685340"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As the Council has received, for a number of years, return funding from the Nottinghamshire Business Rates Pool in relation to the local growth retained (split with Nottinghamshire County Council), a forecast of the additional funding to be generated next financial year has been made of £0.600m. This is expected to be the final year that this will occur as the changes to the system of funding described at 1.2, 1.3 and 1.4 above are likely to remove this funding. Forecasts for the current year’s year-end of £0.490m have been included the balance of the MTFP reserve together with the £0.453m favourable variance on the General Fund.</w:t>
      </w:r>
    </w:p>
    <w:p w14:paraId="1E4E92FF" w14:textId="77777777" w:rsidR="00AE6CAF" w:rsidRPr="00B058D7" w:rsidRDefault="00AE6CAF" w:rsidP="00AE6CAF">
      <w:pPr>
        <w:spacing w:after="0" w:line="240" w:lineRule="auto"/>
        <w:jc w:val="both"/>
        <w:rPr>
          <w:rFonts w:ascii="Calibri" w:hAnsi="Calibri" w:cs="Calibri"/>
          <w:sz w:val="24"/>
          <w:szCs w:val="24"/>
        </w:rPr>
      </w:pPr>
    </w:p>
    <w:p w14:paraId="476A04D2"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Each update to this MTFP will therefore report on progress against each of the headings in the table above, to ensure that each year’s budget is balanced.</w:t>
      </w:r>
    </w:p>
    <w:p w14:paraId="4947D15E" w14:textId="77777777" w:rsidR="00AE6CAF" w:rsidRPr="00B058D7" w:rsidRDefault="00AE6CAF" w:rsidP="00AE6CAF">
      <w:pPr>
        <w:spacing w:after="0" w:line="240" w:lineRule="auto"/>
        <w:jc w:val="both"/>
        <w:rPr>
          <w:rFonts w:ascii="Calibri" w:hAnsi="Calibri" w:cs="Calibri"/>
          <w:sz w:val="24"/>
          <w:szCs w:val="24"/>
        </w:rPr>
      </w:pPr>
    </w:p>
    <w:p w14:paraId="6337DE42"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Since 2010, the council has made significant savings in line with government grant reductions. Though further savings may become harder to identify and deliver, particularly from spend not on employees (as mentioned in section 1.11), it is essential that the council continues to identify areas where spend can be reduced and/or income increased. This is so that the council can continue to operate sustainably longer-term.</w:t>
      </w:r>
    </w:p>
    <w:p w14:paraId="71568561" w14:textId="77777777" w:rsidR="00AE6CAF" w:rsidRPr="00B058D7" w:rsidRDefault="00AE6CAF" w:rsidP="00AE6CAF">
      <w:pPr>
        <w:spacing w:after="0" w:line="240" w:lineRule="auto"/>
        <w:jc w:val="both"/>
        <w:rPr>
          <w:rFonts w:ascii="Calibri" w:hAnsi="Calibri" w:cs="Calibri"/>
          <w:sz w:val="24"/>
          <w:szCs w:val="24"/>
        </w:rPr>
      </w:pPr>
    </w:p>
    <w:p w14:paraId="1F47E0A9"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The council’s total income will need to increase significantly, if it is to continue delivering and improving the services it currently provides and not use its reserves to cover the deficits currently anticipated for 2023/24 and future years.</w:t>
      </w:r>
    </w:p>
    <w:p w14:paraId="23828824" w14:textId="77777777" w:rsidR="00AE6CAF" w:rsidRPr="00B058D7" w:rsidRDefault="00AE6CAF" w:rsidP="00AE6CAF">
      <w:pPr>
        <w:spacing w:after="0" w:line="240" w:lineRule="auto"/>
        <w:jc w:val="both"/>
        <w:rPr>
          <w:rFonts w:ascii="Calibri" w:hAnsi="Calibri" w:cs="Calibri"/>
          <w:sz w:val="24"/>
          <w:szCs w:val="24"/>
        </w:rPr>
      </w:pPr>
    </w:p>
    <w:p w14:paraId="61AD9143"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Councils are severely restricted in how much funding they can raise from council tax increases without holding referenda. As mentioned in section 1.5, the council can increase council tax in 2022/23 by the greater of 1.99% or £5.00 without holding a referendum. A 1% increase in council tax is equivalent to £76,460 of</w:t>
      </w:r>
      <w:r w:rsidRPr="00B058D7">
        <w:rPr>
          <w:rFonts w:ascii="Calibri" w:hAnsi="Calibri" w:cs="Calibri"/>
          <w:bCs/>
          <w:sz w:val="24"/>
          <w:szCs w:val="24"/>
        </w:rPr>
        <w:t xml:space="preserve"> net expenditure.</w:t>
      </w:r>
    </w:p>
    <w:p w14:paraId="5AAA9C6B" w14:textId="77777777" w:rsidR="00AE6CAF" w:rsidRPr="00B058D7" w:rsidRDefault="00AE6CAF" w:rsidP="00AE6CAF">
      <w:pPr>
        <w:spacing w:after="0" w:line="240" w:lineRule="auto"/>
        <w:jc w:val="both"/>
        <w:rPr>
          <w:rFonts w:ascii="Calibri" w:hAnsi="Calibri" w:cs="Calibri"/>
          <w:sz w:val="24"/>
          <w:szCs w:val="24"/>
        </w:rPr>
      </w:pPr>
    </w:p>
    <w:p w14:paraId="5E3F8FFB"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 xml:space="preserve">The council’s Commercial Strategy and Action Plan, approved by Policy and Finance Committee on 27 January 2022, aims to make Newark and Sherwood an </w:t>
      </w:r>
      <w:r w:rsidRPr="00B058D7">
        <w:rPr>
          <w:rFonts w:ascii="Calibri" w:hAnsi="Calibri" w:cs="Calibri"/>
          <w:i/>
          <w:sz w:val="24"/>
          <w:szCs w:val="24"/>
        </w:rPr>
        <w:t>“innovative and entrepreneurial Council that continually achieves positive annual financial contributions; by generating new revenue and delivering cost reductions, through trading and business improvements”</w:t>
      </w:r>
      <w:r w:rsidRPr="00B058D7">
        <w:rPr>
          <w:rFonts w:ascii="Calibri" w:hAnsi="Calibri" w:cs="Calibri"/>
          <w:sz w:val="24"/>
          <w:szCs w:val="24"/>
        </w:rPr>
        <w:t xml:space="preserve">. The council has begun to benefit from the projects which have been completed to date since the Commercial Plan 2017-18 to 2020-21 was approved in October 2017, and expects to increasingly benefit in future years from the implementation of the current strategy. The council’s work across the district (externally) and </w:t>
      </w:r>
      <w:r w:rsidRPr="00B058D7">
        <w:rPr>
          <w:rFonts w:ascii="Calibri" w:hAnsi="Calibri" w:cs="Calibri"/>
          <w:sz w:val="24"/>
          <w:szCs w:val="24"/>
        </w:rPr>
        <w:lastRenderedPageBreak/>
        <w:t>with services council-wide (internally) will be crucial to enabling the council’s future sustainability and growth. This is particularly as changes to the local government finance system increase the rewards for councils able to facilitate local economic growth, as mentioned in section 1.4.</w:t>
      </w:r>
    </w:p>
    <w:p w14:paraId="47838B97" w14:textId="77777777" w:rsidR="00AE6CAF" w:rsidRPr="00B058D7" w:rsidRDefault="00AE6CAF" w:rsidP="00AE6CAF">
      <w:pPr>
        <w:spacing w:after="0" w:line="240" w:lineRule="auto"/>
        <w:jc w:val="both"/>
        <w:rPr>
          <w:rFonts w:ascii="Calibri" w:hAnsi="Calibri" w:cs="Calibri"/>
          <w:sz w:val="24"/>
          <w:szCs w:val="24"/>
        </w:rPr>
      </w:pPr>
    </w:p>
    <w:p w14:paraId="1C8EFFEB" w14:textId="77777777" w:rsidR="00AE6CAF" w:rsidRPr="00B058D7" w:rsidRDefault="00AE6CAF" w:rsidP="00AE6CAF">
      <w:pPr>
        <w:spacing w:after="0" w:line="240" w:lineRule="auto"/>
        <w:jc w:val="both"/>
        <w:rPr>
          <w:rFonts w:ascii="Calibri" w:hAnsi="Calibri" w:cs="Calibri"/>
          <w:sz w:val="24"/>
          <w:szCs w:val="24"/>
          <w:highlight w:val="yellow"/>
        </w:rPr>
      </w:pPr>
      <w:r w:rsidRPr="00B058D7">
        <w:rPr>
          <w:rFonts w:ascii="Calibri" w:hAnsi="Calibri" w:cs="Calibri"/>
          <w:sz w:val="24"/>
          <w:szCs w:val="24"/>
        </w:rPr>
        <w:t>The table below shows which areas have the biggest increases in expenditure budgets in each of the last three years of the council’s MTFP, compared to the equivalent budget in the year before:</w:t>
      </w:r>
    </w:p>
    <w:p w14:paraId="34FC889A" w14:textId="77777777" w:rsidR="00AE6CAF" w:rsidRPr="00B058D7" w:rsidRDefault="00AE6CAF" w:rsidP="00AE6CAF">
      <w:pPr>
        <w:spacing w:after="0" w:line="240" w:lineRule="auto"/>
        <w:jc w:val="both"/>
        <w:rPr>
          <w:rFonts w:ascii="Calibri" w:hAnsi="Calibri" w:cs="Calibri"/>
          <w:sz w:val="24"/>
          <w:szCs w:val="24"/>
          <w:highlight w:val="yellow"/>
        </w:rPr>
      </w:pPr>
    </w:p>
    <w:tbl>
      <w:tblPr>
        <w:tblStyle w:val="TableGrid"/>
        <w:tblW w:w="9639" w:type="dxa"/>
        <w:tblInd w:w="108" w:type="dxa"/>
        <w:tblLook w:val="04A0" w:firstRow="1" w:lastRow="0" w:firstColumn="1" w:lastColumn="0" w:noHBand="0" w:noVBand="1"/>
      </w:tblPr>
      <w:tblGrid>
        <w:gridCol w:w="2552"/>
        <w:gridCol w:w="2362"/>
        <w:gridCol w:w="2362"/>
        <w:gridCol w:w="2363"/>
      </w:tblGrid>
      <w:tr w:rsidR="00AE6CAF" w:rsidRPr="00B058D7" w14:paraId="46993C0D" w14:textId="77777777" w:rsidTr="0047065A">
        <w:tc>
          <w:tcPr>
            <w:tcW w:w="2552" w:type="dxa"/>
            <w:vAlign w:val="center"/>
          </w:tcPr>
          <w:p w14:paraId="5711588E" w14:textId="77777777" w:rsidR="00AE6CAF" w:rsidRPr="00B058D7" w:rsidRDefault="00AE6CAF" w:rsidP="0047065A">
            <w:pPr>
              <w:jc w:val="both"/>
              <w:rPr>
                <w:rFonts w:ascii="Calibri" w:hAnsi="Calibri" w:cs="Calibri"/>
                <w:b/>
                <w:sz w:val="24"/>
                <w:szCs w:val="24"/>
              </w:rPr>
            </w:pPr>
            <w:r w:rsidRPr="00B058D7">
              <w:rPr>
                <w:rFonts w:ascii="Calibri" w:hAnsi="Calibri" w:cs="Calibri"/>
                <w:b/>
                <w:sz w:val="24"/>
                <w:szCs w:val="24"/>
              </w:rPr>
              <w:t>Pressures</w:t>
            </w:r>
          </w:p>
        </w:tc>
        <w:tc>
          <w:tcPr>
            <w:tcW w:w="2362" w:type="dxa"/>
            <w:vAlign w:val="center"/>
          </w:tcPr>
          <w:p w14:paraId="4F7F2CE8" w14:textId="77777777" w:rsidR="00AE6CAF" w:rsidRPr="00B058D7" w:rsidRDefault="00AE6CAF" w:rsidP="0047065A">
            <w:pPr>
              <w:rPr>
                <w:rFonts w:ascii="Calibri" w:hAnsi="Calibri" w:cs="Calibri"/>
                <w:b/>
                <w:sz w:val="24"/>
                <w:szCs w:val="24"/>
              </w:rPr>
            </w:pPr>
            <w:r w:rsidRPr="00B058D7">
              <w:rPr>
                <w:rFonts w:ascii="Calibri" w:hAnsi="Calibri" w:cs="Calibri"/>
                <w:b/>
                <w:sz w:val="24"/>
                <w:szCs w:val="24"/>
              </w:rPr>
              <w:t>Increase in 2023/24 budget, compared to 2022/23 budget</w:t>
            </w:r>
          </w:p>
          <w:p w14:paraId="5CEA9AA5" w14:textId="77777777" w:rsidR="00AE6CAF" w:rsidRPr="00B058D7" w:rsidRDefault="00AE6CAF" w:rsidP="0047065A">
            <w:pPr>
              <w:rPr>
                <w:rFonts w:ascii="Calibri" w:hAnsi="Calibri" w:cs="Calibri"/>
                <w:b/>
                <w:sz w:val="24"/>
                <w:szCs w:val="24"/>
              </w:rPr>
            </w:pPr>
            <w:r w:rsidRPr="00B058D7">
              <w:rPr>
                <w:rFonts w:ascii="Calibri" w:hAnsi="Calibri" w:cs="Calibri"/>
                <w:b/>
                <w:sz w:val="24"/>
                <w:szCs w:val="24"/>
              </w:rPr>
              <w:t>(£m)</w:t>
            </w:r>
          </w:p>
        </w:tc>
        <w:tc>
          <w:tcPr>
            <w:tcW w:w="2362" w:type="dxa"/>
            <w:vAlign w:val="center"/>
          </w:tcPr>
          <w:p w14:paraId="2F3B8808" w14:textId="77777777" w:rsidR="00AE6CAF" w:rsidRPr="00B058D7" w:rsidRDefault="00AE6CAF" w:rsidP="0047065A">
            <w:pPr>
              <w:rPr>
                <w:rFonts w:ascii="Calibri" w:hAnsi="Calibri" w:cs="Calibri"/>
                <w:b/>
                <w:sz w:val="24"/>
                <w:szCs w:val="24"/>
              </w:rPr>
            </w:pPr>
            <w:r w:rsidRPr="00B058D7">
              <w:rPr>
                <w:rFonts w:ascii="Calibri" w:hAnsi="Calibri" w:cs="Calibri"/>
                <w:b/>
                <w:sz w:val="24"/>
                <w:szCs w:val="24"/>
              </w:rPr>
              <w:t>Increase in 2024/25 budget, compared to 2023/24 budget</w:t>
            </w:r>
          </w:p>
          <w:p w14:paraId="19DE5773" w14:textId="77777777" w:rsidR="00AE6CAF" w:rsidRPr="00B058D7" w:rsidRDefault="00AE6CAF" w:rsidP="0047065A">
            <w:pPr>
              <w:rPr>
                <w:rFonts w:ascii="Calibri" w:hAnsi="Calibri" w:cs="Calibri"/>
                <w:b/>
                <w:sz w:val="24"/>
                <w:szCs w:val="24"/>
              </w:rPr>
            </w:pPr>
            <w:r w:rsidRPr="00B058D7">
              <w:rPr>
                <w:rFonts w:ascii="Calibri" w:hAnsi="Calibri" w:cs="Calibri"/>
                <w:b/>
                <w:sz w:val="24"/>
                <w:szCs w:val="24"/>
              </w:rPr>
              <w:t>(£m)</w:t>
            </w:r>
          </w:p>
        </w:tc>
        <w:tc>
          <w:tcPr>
            <w:tcW w:w="2363" w:type="dxa"/>
            <w:vAlign w:val="center"/>
          </w:tcPr>
          <w:p w14:paraId="01CDA7A1" w14:textId="77777777" w:rsidR="00AE6CAF" w:rsidRPr="00B058D7" w:rsidRDefault="00AE6CAF" w:rsidP="0047065A">
            <w:pPr>
              <w:rPr>
                <w:rFonts w:ascii="Calibri" w:hAnsi="Calibri" w:cs="Calibri"/>
                <w:b/>
                <w:sz w:val="24"/>
                <w:szCs w:val="24"/>
              </w:rPr>
            </w:pPr>
            <w:r w:rsidRPr="00B058D7">
              <w:rPr>
                <w:rFonts w:ascii="Calibri" w:hAnsi="Calibri" w:cs="Calibri"/>
                <w:b/>
                <w:sz w:val="24"/>
                <w:szCs w:val="24"/>
              </w:rPr>
              <w:t>Increase in 2025/26 budget, compared to 2024/25 budget</w:t>
            </w:r>
          </w:p>
          <w:p w14:paraId="49A47E97" w14:textId="77777777" w:rsidR="00AE6CAF" w:rsidRPr="00B058D7" w:rsidRDefault="00AE6CAF" w:rsidP="0047065A">
            <w:pPr>
              <w:rPr>
                <w:rFonts w:ascii="Calibri" w:hAnsi="Calibri" w:cs="Calibri"/>
                <w:b/>
                <w:sz w:val="24"/>
                <w:szCs w:val="24"/>
              </w:rPr>
            </w:pPr>
            <w:r w:rsidRPr="00B058D7">
              <w:rPr>
                <w:rFonts w:ascii="Calibri" w:hAnsi="Calibri" w:cs="Calibri"/>
                <w:b/>
                <w:sz w:val="24"/>
                <w:szCs w:val="24"/>
              </w:rPr>
              <w:t>(£m)</w:t>
            </w:r>
          </w:p>
        </w:tc>
      </w:tr>
      <w:tr w:rsidR="00AE6CAF" w:rsidRPr="00B058D7" w14:paraId="36695787" w14:textId="77777777" w:rsidTr="0047065A">
        <w:tc>
          <w:tcPr>
            <w:tcW w:w="2552" w:type="dxa"/>
            <w:vAlign w:val="center"/>
          </w:tcPr>
          <w:p w14:paraId="7FA19D5B" w14:textId="77777777" w:rsidR="00AE6CAF" w:rsidRPr="00B058D7" w:rsidRDefault="00AE6CAF" w:rsidP="0047065A">
            <w:pPr>
              <w:tabs>
                <w:tab w:val="left" w:pos="270"/>
              </w:tabs>
              <w:jc w:val="both"/>
              <w:rPr>
                <w:rFonts w:ascii="Calibri" w:hAnsi="Calibri" w:cs="Calibri"/>
                <w:sz w:val="24"/>
                <w:szCs w:val="24"/>
              </w:rPr>
            </w:pPr>
            <w:r w:rsidRPr="00B058D7">
              <w:rPr>
                <w:rFonts w:ascii="Calibri" w:hAnsi="Calibri" w:cs="Calibri"/>
                <w:sz w:val="24"/>
                <w:szCs w:val="24"/>
              </w:rPr>
              <w:t>Employees</w:t>
            </w:r>
          </w:p>
        </w:tc>
        <w:tc>
          <w:tcPr>
            <w:tcW w:w="2362" w:type="dxa"/>
            <w:vAlign w:val="center"/>
          </w:tcPr>
          <w:p w14:paraId="761E95B4" w14:textId="77777777" w:rsidR="00AE6CAF" w:rsidRPr="00B058D7" w:rsidRDefault="00AE6CAF" w:rsidP="0047065A">
            <w:pPr>
              <w:jc w:val="right"/>
              <w:rPr>
                <w:rFonts w:ascii="Calibri" w:hAnsi="Calibri" w:cs="Calibri"/>
                <w:sz w:val="24"/>
                <w:szCs w:val="24"/>
              </w:rPr>
            </w:pPr>
            <w:r w:rsidRPr="00B058D7">
              <w:rPr>
                <w:rFonts w:ascii="Calibri" w:hAnsi="Calibri" w:cs="Calibri"/>
                <w:sz w:val="24"/>
                <w:szCs w:val="24"/>
              </w:rPr>
              <w:t>0.401</w:t>
            </w:r>
          </w:p>
        </w:tc>
        <w:tc>
          <w:tcPr>
            <w:tcW w:w="2362" w:type="dxa"/>
            <w:vAlign w:val="center"/>
          </w:tcPr>
          <w:p w14:paraId="0E621F18" w14:textId="77777777" w:rsidR="00AE6CAF" w:rsidRPr="00B058D7" w:rsidRDefault="00AE6CAF" w:rsidP="0047065A">
            <w:pPr>
              <w:jc w:val="right"/>
              <w:rPr>
                <w:rFonts w:ascii="Calibri" w:hAnsi="Calibri" w:cs="Calibri"/>
                <w:sz w:val="24"/>
                <w:szCs w:val="24"/>
              </w:rPr>
            </w:pPr>
            <w:r w:rsidRPr="00B058D7">
              <w:rPr>
                <w:rFonts w:ascii="Calibri" w:hAnsi="Calibri" w:cs="Calibri"/>
                <w:sz w:val="24"/>
                <w:szCs w:val="24"/>
              </w:rPr>
              <w:t>0.497</w:t>
            </w:r>
          </w:p>
        </w:tc>
        <w:tc>
          <w:tcPr>
            <w:tcW w:w="2363" w:type="dxa"/>
            <w:vAlign w:val="center"/>
          </w:tcPr>
          <w:p w14:paraId="654F8334" w14:textId="77777777" w:rsidR="00AE6CAF" w:rsidRPr="00B058D7" w:rsidRDefault="00AE6CAF" w:rsidP="0047065A">
            <w:pPr>
              <w:jc w:val="right"/>
              <w:rPr>
                <w:rFonts w:ascii="Calibri" w:hAnsi="Calibri" w:cs="Calibri"/>
                <w:sz w:val="24"/>
                <w:szCs w:val="24"/>
              </w:rPr>
            </w:pPr>
            <w:r w:rsidRPr="00B058D7">
              <w:rPr>
                <w:rFonts w:ascii="Calibri" w:hAnsi="Calibri" w:cs="Calibri"/>
                <w:sz w:val="24"/>
                <w:szCs w:val="24"/>
              </w:rPr>
              <w:t>0.511</w:t>
            </w:r>
          </w:p>
        </w:tc>
      </w:tr>
      <w:tr w:rsidR="00AE6CAF" w:rsidRPr="00B058D7" w14:paraId="086503B7" w14:textId="77777777" w:rsidTr="0047065A">
        <w:tc>
          <w:tcPr>
            <w:tcW w:w="2552" w:type="dxa"/>
            <w:vAlign w:val="center"/>
          </w:tcPr>
          <w:p w14:paraId="024FB6A1" w14:textId="77777777" w:rsidR="00AE6CAF" w:rsidRPr="00B058D7" w:rsidRDefault="00AE6CAF" w:rsidP="0047065A">
            <w:pPr>
              <w:tabs>
                <w:tab w:val="left" w:pos="270"/>
              </w:tabs>
              <w:jc w:val="both"/>
              <w:rPr>
                <w:rFonts w:ascii="Calibri" w:hAnsi="Calibri" w:cs="Calibri"/>
                <w:sz w:val="24"/>
                <w:szCs w:val="24"/>
              </w:rPr>
            </w:pPr>
            <w:r w:rsidRPr="00B058D7">
              <w:rPr>
                <w:rFonts w:ascii="Calibri" w:hAnsi="Calibri" w:cs="Calibri"/>
                <w:sz w:val="24"/>
                <w:szCs w:val="24"/>
              </w:rPr>
              <w:t>Internal Drainage Board Levies</w:t>
            </w:r>
          </w:p>
        </w:tc>
        <w:tc>
          <w:tcPr>
            <w:tcW w:w="2362" w:type="dxa"/>
            <w:vAlign w:val="center"/>
          </w:tcPr>
          <w:p w14:paraId="471DF722" w14:textId="77777777" w:rsidR="00AE6CAF" w:rsidRPr="00B058D7" w:rsidRDefault="00AE6CAF" w:rsidP="0047065A">
            <w:pPr>
              <w:jc w:val="right"/>
              <w:rPr>
                <w:rFonts w:ascii="Calibri" w:hAnsi="Calibri" w:cs="Calibri"/>
                <w:sz w:val="24"/>
                <w:szCs w:val="24"/>
              </w:rPr>
            </w:pPr>
            <w:r w:rsidRPr="00B058D7">
              <w:rPr>
                <w:rFonts w:ascii="Calibri" w:hAnsi="Calibri" w:cs="Calibri"/>
                <w:sz w:val="24"/>
                <w:szCs w:val="24"/>
              </w:rPr>
              <w:t>0.040</w:t>
            </w:r>
          </w:p>
        </w:tc>
        <w:tc>
          <w:tcPr>
            <w:tcW w:w="2362" w:type="dxa"/>
            <w:vAlign w:val="center"/>
          </w:tcPr>
          <w:p w14:paraId="639EB97B" w14:textId="77777777" w:rsidR="00AE6CAF" w:rsidRPr="00B058D7" w:rsidRDefault="00AE6CAF" w:rsidP="0047065A">
            <w:pPr>
              <w:jc w:val="right"/>
              <w:rPr>
                <w:rFonts w:ascii="Calibri" w:hAnsi="Calibri" w:cs="Calibri"/>
                <w:sz w:val="24"/>
                <w:szCs w:val="24"/>
              </w:rPr>
            </w:pPr>
            <w:r w:rsidRPr="00B058D7">
              <w:rPr>
                <w:rFonts w:ascii="Calibri" w:hAnsi="Calibri" w:cs="Calibri"/>
                <w:sz w:val="24"/>
                <w:szCs w:val="24"/>
              </w:rPr>
              <w:t>0.029</w:t>
            </w:r>
          </w:p>
        </w:tc>
        <w:tc>
          <w:tcPr>
            <w:tcW w:w="2363" w:type="dxa"/>
            <w:vAlign w:val="center"/>
          </w:tcPr>
          <w:p w14:paraId="5B3E8444" w14:textId="77777777" w:rsidR="00AE6CAF" w:rsidRPr="00B058D7" w:rsidRDefault="00AE6CAF" w:rsidP="0047065A">
            <w:pPr>
              <w:jc w:val="right"/>
              <w:rPr>
                <w:rFonts w:ascii="Calibri" w:hAnsi="Calibri" w:cs="Calibri"/>
                <w:sz w:val="24"/>
                <w:szCs w:val="24"/>
              </w:rPr>
            </w:pPr>
            <w:r w:rsidRPr="00B058D7">
              <w:rPr>
                <w:rFonts w:ascii="Calibri" w:hAnsi="Calibri" w:cs="Calibri"/>
                <w:sz w:val="24"/>
                <w:szCs w:val="24"/>
              </w:rPr>
              <w:t>0.023</w:t>
            </w:r>
          </w:p>
        </w:tc>
      </w:tr>
      <w:tr w:rsidR="00AE6CAF" w:rsidRPr="00B058D7" w14:paraId="1ED3B83C" w14:textId="77777777" w:rsidTr="0047065A">
        <w:tc>
          <w:tcPr>
            <w:tcW w:w="2552" w:type="dxa"/>
          </w:tcPr>
          <w:p w14:paraId="264C433F" w14:textId="77777777" w:rsidR="00AE6CAF" w:rsidRPr="00B058D7" w:rsidRDefault="00AE6CAF" w:rsidP="0047065A">
            <w:pPr>
              <w:tabs>
                <w:tab w:val="left" w:pos="270"/>
              </w:tabs>
              <w:jc w:val="both"/>
              <w:rPr>
                <w:rFonts w:ascii="Calibri" w:hAnsi="Calibri" w:cs="Calibri"/>
                <w:sz w:val="24"/>
                <w:szCs w:val="24"/>
              </w:rPr>
            </w:pPr>
            <w:r w:rsidRPr="00B058D7">
              <w:rPr>
                <w:rFonts w:ascii="Calibri" w:hAnsi="Calibri" w:cs="Calibri"/>
                <w:sz w:val="24"/>
                <w:szCs w:val="24"/>
              </w:rPr>
              <w:t>Electricity and gas costs</w:t>
            </w:r>
          </w:p>
        </w:tc>
        <w:tc>
          <w:tcPr>
            <w:tcW w:w="2362" w:type="dxa"/>
            <w:vAlign w:val="center"/>
          </w:tcPr>
          <w:p w14:paraId="56BC9177" w14:textId="77777777" w:rsidR="00AE6CAF" w:rsidRPr="00B058D7" w:rsidRDefault="00AE6CAF" w:rsidP="0047065A">
            <w:pPr>
              <w:jc w:val="right"/>
              <w:rPr>
                <w:rFonts w:ascii="Calibri" w:hAnsi="Calibri" w:cs="Calibri"/>
                <w:sz w:val="24"/>
                <w:szCs w:val="24"/>
              </w:rPr>
            </w:pPr>
            <w:r w:rsidRPr="00B058D7">
              <w:rPr>
                <w:rFonts w:ascii="Calibri" w:hAnsi="Calibri" w:cs="Calibri"/>
                <w:sz w:val="24"/>
                <w:szCs w:val="24"/>
              </w:rPr>
              <w:t>0.021</w:t>
            </w:r>
          </w:p>
        </w:tc>
        <w:tc>
          <w:tcPr>
            <w:tcW w:w="2362" w:type="dxa"/>
            <w:vAlign w:val="center"/>
          </w:tcPr>
          <w:p w14:paraId="1B256A4F" w14:textId="77777777" w:rsidR="00AE6CAF" w:rsidRPr="00B058D7" w:rsidRDefault="00AE6CAF" w:rsidP="0047065A">
            <w:pPr>
              <w:jc w:val="right"/>
              <w:rPr>
                <w:rFonts w:ascii="Calibri" w:hAnsi="Calibri" w:cs="Calibri"/>
                <w:sz w:val="24"/>
                <w:szCs w:val="24"/>
              </w:rPr>
            </w:pPr>
            <w:r w:rsidRPr="00B058D7">
              <w:rPr>
                <w:rFonts w:ascii="Calibri" w:hAnsi="Calibri" w:cs="Calibri"/>
                <w:sz w:val="24"/>
                <w:szCs w:val="24"/>
              </w:rPr>
              <w:t>0.022</w:t>
            </w:r>
          </w:p>
        </w:tc>
        <w:tc>
          <w:tcPr>
            <w:tcW w:w="2363" w:type="dxa"/>
            <w:vAlign w:val="center"/>
          </w:tcPr>
          <w:p w14:paraId="056C17A5" w14:textId="77777777" w:rsidR="00AE6CAF" w:rsidRPr="00B058D7" w:rsidRDefault="00AE6CAF" w:rsidP="0047065A">
            <w:pPr>
              <w:jc w:val="right"/>
              <w:rPr>
                <w:rFonts w:ascii="Calibri" w:hAnsi="Calibri" w:cs="Calibri"/>
                <w:sz w:val="24"/>
                <w:szCs w:val="24"/>
              </w:rPr>
            </w:pPr>
            <w:r w:rsidRPr="00B058D7">
              <w:rPr>
                <w:rFonts w:ascii="Calibri" w:hAnsi="Calibri" w:cs="Calibri"/>
                <w:sz w:val="24"/>
                <w:szCs w:val="24"/>
              </w:rPr>
              <w:t>0.023</w:t>
            </w:r>
          </w:p>
        </w:tc>
      </w:tr>
    </w:tbl>
    <w:p w14:paraId="3B4F9E7A" w14:textId="77777777" w:rsidR="00AE6CAF" w:rsidRPr="00B058D7" w:rsidRDefault="00AE6CAF" w:rsidP="00AE6CAF">
      <w:pPr>
        <w:spacing w:after="0" w:line="240" w:lineRule="auto"/>
        <w:jc w:val="both"/>
        <w:rPr>
          <w:rFonts w:ascii="Calibri" w:hAnsi="Calibri" w:cs="Calibri"/>
          <w:sz w:val="24"/>
          <w:szCs w:val="24"/>
        </w:rPr>
      </w:pPr>
    </w:p>
    <w:p w14:paraId="787F8F80" w14:textId="77777777" w:rsidR="00AE6CAF" w:rsidRPr="00B058D7" w:rsidRDefault="00AE6CAF" w:rsidP="00AE6CAF">
      <w:pPr>
        <w:pStyle w:val="ListParagraph"/>
        <w:numPr>
          <w:ilvl w:val="0"/>
          <w:numId w:val="25"/>
        </w:numPr>
        <w:spacing w:after="0" w:line="240" w:lineRule="auto"/>
        <w:jc w:val="both"/>
        <w:rPr>
          <w:rFonts w:ascii="Calibri" w:hAnsi="Calibri" w:cs="Calibri"/>
          <w:b/>
          <w:sz w:val="24"/>
          <w:szCs w:val="24"/>
          <w:u w:val="single"/>
        </w:rPr>
      </w:pPr>
      <w:bookmarkStart w:id="7" w:name="_Ref32153418"/>
      <w:r w:rsidRPr="00B058D7">
        <w:rPr>
          <w:rFonts w:ascii="Calibri" w:hAnsi="Calibri" w:cs="Calibri"/>
          <w:b/>
          <w:sz w:val="24"/>
          <w:szCs w:val="24"/>
          <w:u w:val="single"/>
        </w:rPr>
        <w:t>Risks Associated with the Budget Process</w:t>
      </w:r>
      <w:bookmarkEnd w:id="7"/>
    </w:p>
    <w:p w14:paraId="50B111E4" w14:textId="77777777" w:rsidR="00AE6CAF" w:rsidRPr="00B058D7" w:rsidRDefault="00AE6CAF" w:rsidP="00AE6CAF">
      <w:pPr>
        <w:spacing w:after="0" w:line="240" w:lineRule="auto"/>
        <w:jc w:val="both"/>
        <w:rPr>
          <w:rFonts w:ascii="Calibri" w:hAnsi="Calibri" w:cs="Calibri"/>
          <w:sz w:val="24"/>
          <w:szCs w:val="24"/>
          <w:highlight w:val="lightGray"/>
        </w:rPr>
      </w:pPr>
    </w:p>
    <w:p w14:paraId="3408435A"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Budgets are only as accurate as the data available at the time they are developed. There are therefore risks that the proposed budgets in the council’s MTFP will differ significantly from reality (actual expenditure and income). Some of the factors which could cause adverse variances are:</w:t>
      </w:r>
    </w:p>
    <w:p w14:paraId="3C0CA046" w14:textId="77777777" w:rsidR="00AE6CAF" w:rsidRPr="00B058D7" w:rsidRDefault="00AE6CAF" w:rsidP="00AE6CAF">
      <w:pPr>
        <w:spacing w:after="0" w:line="240" w:lineRule="auto"/>
        <w:jc w:val="both"/>
        <w:rPr>
          <w:rFonts w:ascii="Calibri" w:hAnsi="Calibri" w:cs="Calibri"/>
          <w:sz w:val="24"/>
          <w:szCs w:val="24"/>
        </w:rPr>
      </w:pPr>
    </w:p>
    <w:p w14:paraId="4B6D6955" w14:textId="77777777" w:rsidR="00AE6CAF" w:rsidRPr="00B058D7" w:rsidRDefault="00AE6CAF" w:rsidP="00B058D7">
      <w:pPr>
        <w:pStyle w:val="ListParagraph"/>
        <w:numPr>
          <w:ilvl w:val="0"/>
          <w:numId w:val="18"/>
        </w:numPr>
        <w:spacing w:after="0" w:line="240" w:lineRule="auto"/>
        <w:ind w:left="284" w:hanging="284"/>
        <w:jc w:val="both"/>
        <w:rPr>
          <w:rFonts w:ascii="Calibri" w:hAnsi="Calibri" w:cs="Calibri"/>
          <w:sz w:val="24"/>
          <w:szCs w:val="24"/>
        </w:rPr>
      </w:pPr>
      <w:r w:rsidRPr="00B058D7">
        <w:rPr>
          <w:rFonts w:ascii="Calibri" w:hAnsi="Calibri" w:cs="Calibri"/>
          <w:sz w:val="24"/>
          <w:szCs w:val="24"/>
        </w:rPr>
        <w:t>higher than expected inflation and/or interest rates;</w:t>
      </w:r>
    </w:p>
    <w:p w14:paraId="3F6EBBCB" w14:textId="77777777" w:rsidR="00AE6CAF" w:rsidRPr="00B058D7" w:rsidRDefault="00AE6CAF" w:rsidP="00B058D7">
      <w:pPr>
        <w:pStyle w:val="ListParagraph"/>
        <w:numPr>
          <w:ilvl w:val="0"/>
          <w:numId w:val="18"/>
        </w:numPr>
        <w:spacing w:after="0" w:line="240" w:lineRule="auto"/>
        <w:ind w:left="284" w:hanging="284"/>
        <w:jc w:val="both"/>
        <w:rPr>
          <w:rFonts w:ascii="Calibri" w:hAnsi="Calibri" w:cs="Calibri"/>
          <w:sz w:val="24"/>
          <w:szCs w:val="24"/>
        </w:rPr>
      </w:pPr>
      <w:r w:rsidRPr="00B058D7">
        <w:rPr>
          <w:rFonts w:ascii="Calibri" w:hAnsi="Calibri" w:cs="Calibri"/>
          <w:sz w:val="24"/>
          <w:szCs w:val="24"/>
        </w:rPr>
        <w:t>the council receiving lower than expected amounts of grant funding and/or other income;</w:t>
      </w:r>
    </w:p>
    <w:p w14:paraId="16273364" w14:textId="77777777" w:rsidR="00AE6CAF" w:rsidRPr="00B058D7" w:rsidRDefault="00AE6CAF" w:rsidP="00B058D7">
      <w:pPr>
        <w:pStyle w:val="ListParagraph"/>
        <w:numPr>
          <w:ilvl w:val="0"/>
          <w:numId w:val="18"/>
        </w:numPr>
        <w:spacing w:after="0" w:line="240" w:lineRule="auto"/>
        <w:ind w:left="284" w:hanging="284"/>
        <w:jc w:val="both"/>
        <w:rPr>
          <w:rFonts w:ascii="Calibri" w:hAnsi="Calibri" w:cs="Calibri"/>
          <w:sz w:val="24"/>
          <w:szCs w:val="24"/>
        </w:rPr>
      </w:pPr>
      <w:r w:rsidRPr="00B058D7">
        <w:rPr>
          <w:rFonts w:ascii="Calibri" w:hAnsi="Calibri" w:cs="Calibri"/>
          <w:sz w:val="24"/>
          <w:szCs w:val="24"/>
        </w:rPr>
        <w:t>the future differing significantly from the initial budgets proposed at the time of developing the MTFP;</w:t>
      </w:r>
    </w:p>
    <w:p w14:paraId="78EB323B" w14:textId="77777777" w:rsidR="00AE6CAF" w:rsidRPr="00B058D7" w:rsidRDefault="00AE6CAF" w:rsidP="00B058D7">
      <w:pPr>
        <w:pStyle w:val="ListParagraph"/>
        <w:numPr>
          <w:ilvl w:val="0"/>
          <w:numId w:val="18"/>
        </w:numPr>
        <w:spacing w:after="0" w:line="240" w:lineRule="auto"/>
        <w:ind w:left="284" w:hanging="284"/>
        <w:jc w:val="both"/>
        <w:rPr>
          <w:rFonts w:ascii="Calibri" w:hAnsi="Calibri" w:cs="Calibri"/>
          <w:sz w:val="24"/>
          <w:szCs w:val="24"/>
        </w:rPr>
      </w:pPr>
      <w:r w:rsidRPr="00B058D7">
        <w:rPr>
          <w:rFonts w:ascii="Calibri" w:hAnsi="Calibri" w:cs="Calibri"/>
          <w:sz w:val="24"/>
          <w:szCs w:val="24"/>
        </w:rPr>
        <w:t>volatility of certain budget lines between years;</w:t>
      </w:r>
    </w:p>
    <w:p w14:paraId="71F2F665" w14:textId="77777777" w:rsidR="00AE6CAF" w:rsidRPr="00B058D7" w:rsidRDefault="00AE6CAF" w:rsidP="00B058D7">
      <w:pPr>
        <w:pStyle w:val="ListParagraph"/>
        <w:numPr>
          <w:ilvl w:val="0"/>
          <w:numId w:val="18"/>
        </w:numPr>
        <w:spacing w:after="0" w:line="240" w:lineRule="auto"/>
        <w:ind w:left="284" w:hanging="284"/>
        <w:jc w:val="both"/>
        <w:rPr>
          <w:rFonts w:ascii="Calibri" w:hAnsi="Calibri" w:cs="Calibri"/>
          <w:sz w:val="24"/>
          <w:szCs w:val="24"/>
        </w:rPr>
      </w:pPr>
      <w:r w:rsidRPr="00B058D7">
        <w:rPr>
          <w:rFonts w:ascii="Calibri" w:hAnsi="Calibri" w:cs="Calibri"/>
          <w:sz w:val="24"/>
          <w:szCs w:val="24"/>
        </w:rPr>
        <w:t>underachievement of expected savings and/or efficiencies;</w:t>
      </w:r>
    </w:p>
    <w:p w14:paraId="10E36F5D" w14:textId="77777777" w:rsidR="00AE6CAF" w:rsidRPr="00B058D7" w:rsidRDefault="00AE6CAF" w:rsidP="00B058D7">
      <w:pPr>
        <w:pStyle w:val="ListParagraph"/>
        <w:numPr>
          <w:ilvl w:val="0"/>
          <w:numId w:val="18"/>
        </w:numPr>
        <w:spacing w:after="0" w:line="240" w:lineRule="auto"/>
        <w:ind w:left="284" w:hanging="284"/>
        <w:jc w:val="both"/>
        <w:rPr>
          <w:rFonts w:ascii="Calibri" w:hAnsi="Calibri" w:cs="Calibri"/>
          <w:sz w:val="24"/>
          <w:szCs w:val="24"/>
        </w:rPr>
      </w:pPr>
      <w:r w:rsidRPr="00B058D7">
        <w:rPr>
          <w:rFonts w:ascii="Calibri" w:hAnsi="Calibri" w:cs="Calibri"/>
          <w:sz w:val="24"/>
          <w:szCs w:val="24"/>
        </w:rPr>
        <w:t>unforeseen events and emergencies;</w:t>
      </w:r>
    </w:p>
    <w:p w14:paraId="00340134" w14:textId="77777777" w:rsidR="00AE6CAF" w:rsidRPr="00B058D7" w:rsidRDefault="00AE6CAF" w:rsidP="00B058D7">
      <w:pPr>
        <w:pStyle w:val="ListParagraph"/>
        <w:numPr>
          <w:ilvl w:val="0"/>
          <w:numId w:val="18"/>
        </w:numPr>
        <w:spacing w:after="0" w:line="240" w:lineRule="auto"/>
        <w:ind w:left="284" w:hanging="284"/>
        <w:jc w:val="both"/>
        <w:rPr>
          <w:rFonts w:ascii="Calibri" w:hAnsi="Calibri" w:cs="Calibri"/>
          <w:sz w:val="24"/>
          <w:szCs w:val="24"/>
        </w:rPr>
      </w:pPr>
      <w:r w:rsidRPr="00B058D7">
        <w:rPr>
          <w:rFonts w:ascii="Calibri" w:hAnsi="Calibri" w:cs="Calibri"/>
          <w:sz w:val="24"/>
          <w:szCs w:val="24"/>
        </w:rPr>
        <w:t xml:space="preserve">unforeseen insurance costs or legal claims; </w:t>
      </w:r>
    </w:p>
    <w:p w14:paraId="661EE721" w14:textId="77777777" w:rsidR="00AE6CAF" w:rsidRPr="00B058D7" w:rsidRDefault="00AE6CAF" w:rsidP="00B058D7">
      <w:pPr>
        <w:pStyle w:val="ListParagraph"/>
        <w:numPr>
          <w:ilvl w:val="0"/>
          <w:numId w:val="18"/>
        </w:numPr>
        <w:spacing w:after="0" w:line="240" w:lineRule="auto"/>
        <w:ind w:left="284" w:hanging="284"/>
        <w:jc w:val="both"/>
        <w:rPr>
          <w:rFonts w:ascii="Calibri" w:hAnsi="Calibri" w:cs="Calibri"/>
          <w:sz w:val="24"/>
          <w:szCs w:val="24"/>
        </w:rPr>
      </w:pPr>
      <w:proofErr w:type="gramStart"/>
      <w:r w:rsidRPr="00B058D7">
        <w:rPr>
          <w:rFonts w:ascii="Calibri" w:hAnsi="Calibri" w:cs="Calibri"/>
          <w:sz w:val="24"/>
          <w:szCs w:val="24"/>
        </w:rPr>
        <w:t>lower</w:t>
      </w:r>
      <w:proofErr w:type="gramEnd"/>
      <w:r w:rsidRPr="00B058D7">
        <w:rPr>
          <w:rFonts w:ascii="Calibri" w:hAnsi="Calibri" w:cs="Calibri"/>
          <w:sz w:val="24"/>
          <w:szCs w:val="24"/>
        </w:rPr>
        <w:t xml:space="preserve"> than expected business rates growth.</w:t>
      </w:r>
    </w:p>
    <w:p w14:paraId="4A95C284" w14:textId="77777777" w:rsidR="00AE6CAF" w:rsidRPr="00B058D7" w:rsidRDefault="00AE6CAF" w:rsidP="00AE6CAF">
      <w:pPr>
        <w:spacing w:after="0" w:line="240" w:lineRule="auto"/>
        <w:jc w:val="both"/>
        <w:rPr>
          <w:rFonts w:ascii="Calibri" w:hAnsi="Calibri" w:cs="Calibri"/>
          <w:sz w:val="24"/>
          <w:szCs w:val="24"/>
          <w:highlight w:val="lightGray"/>
        </w:rPr>
      </w:pPr>
    </w:p>
    <w:p w14:paraId="6E542EE5" w14:textId="77777777" w:rsidR="00AE6CAF" w:rsidRPr="00B058D7" w:rsidRDefault="00AE6CAF" w:rsidP="00AE6CAF">
      <w:pPr>
        <w:pStyle w:val="2Paragraphs"/>
        <w:rPr>
          <w:rFonts w:ascii="Calibri" w:hAnsi="Calibri" w:cs="Calibri"/>
        </w:rPr>
      </w:pPr>
      <w:bookmarkStart w:id="8" w:name="_Ref31713682"/>
      <w:r w:rsidRPr="00B058D7">
        <w:rPr>
          <w:rFonts w:ascii="Calibri" w:hAnsi="Calibri" w:cs="Calibri"/>
        </w:rPr>
        <w:t xml:space="preserve">Section 25 (Budget calculations: report on robustness of estimates </w:t>
      </w:r>
      <w:proofErr w:type="spellStart"/>
      <w:r w:rsidRPr="00B058D7">
        <w:rPr>
          <w:rFonts w:ascii="Calibri" w:hAnsi="Calibri" w:cs="Calibri"/>
        </w:rPr>
        <w:t>etc</w:t>
      </w:r>
      <w:proofErr w:type="spellEnd"/>
      <w:r w:rsidRPr="00B058D7">
        <w:rPr>
          <w:rFonts w:ascii="Calibri" w:hAnsi="Calibri" w:cs="Calibri"/>
        </w:rPr>
        <w:t xml:space="preserve">) of the </w:t>
      </w:r>
      <w:r w:rsidRPr="00B058D7">
        <w:rPr>
          <w:rFonts w:ascii="Calibri" w:hAnsi="Calibri" w:cs="Calibri"/>
          <w:i/>
        </w:rPr>
        <w:t>Local Government Act 2003</w:t>
      </w:r>
      <w:r w:rsidRPr="00B058D7">
        <w:rPr>
          <w:rFonts w:ascii="Calibri" w:hAnsi="Calibri" w:cs="Calibri"/>
        </w:rPr>
        <w:t xml:space="preserve"> requires local authority chief finance officers (Section 151 officers) to report on the adequacy of financial reserves in the council’s proposed budget and robustness of estimates made.</w:t>
      </w:r>
      <w:bookmarkEnd w:id="8"/>
      <w:r w:rsidRPr="00B058D7">
        <w:rPr>
          <w:rFonts w:ascii="Calibri" w:hAnsi="Calibri" w:cs="Calibri"/>
        </w:rPr>
        <w:t xml:space="preserve"> This section fulfils that requirement.</w:t>
      </w:r>
    </w:p>
    <w:p w14:paraId="2E980B71" w14:textId="77777777" w:rsidR="00AE6CAF" w:rsidRPr="00B058D7" w:rsidRDefault="00AE6CAF" w:rsidP="00AE6CAF">
      <w:pPr>
        <w:pStyle w:val="2Paragraphs"/>
        <w:ind w:left="720"/>
        <w:rPr>
          <w:rFonts w:ascii="Calibri" w:hAnsi="Calibri" w:cs="Calibri"/>
        </w:rPr>
      </w:pPr>
    </w:p>
    <w:p w14:paraId="19FBB875" w14:textId="77777777" w:rsidR="00AE6CAF" w:rsidRPr="00B058D7" w:rsidRDefault="00AE6CAF" w:rsidP="00AE6CAF">
      <w:pPr>
        <w:pStyle w:val="2Paragraphs"/>
        <w:rPr>
          <w:rFonts w:ascii="Calibri" w:hAnsi="Calibri" w:cs="Calibri"/>
        </w:rPr>
      </w:pPr>
      <w:r w:rsidRPr="00B058D7">
        <w:rPr>
          <w:rFonts w:ascii="Calibri" w:hAnsi="Calibri" w:cs="Calibri"/>
        </w:rPr>
        <w:t>In considering the council’s proposed budget for 2022/23 and the sensitivity of expenditure and income to changes, it should be noted that:</w:t>
      </w:r>
    </w:p>
    <w:p w14:paraId="68E02224" w14:textId="77777777" w:rsidR="00AE6CAF" w:rsidRPr="00B058D7" w:rsidRDefault="00AE6CAF" w:rsidP="00AE6CAF">
      <w:pPr>
        <w:pStyle w:val="ListParagraph"/>
        <w:spacing w:line="240" w:lineRule="auto"/>
        <w:rPr>
          <w:rFonts w:ascii="Calibri" w:hAnsi="Calibri" w:cs="Calibri"/>
          <w:sz w:val="24"/>
          <w:szCs w:val="24"/>
        </w:rPr>
      </w:pPr>
    </w:p>
    <w:p w14:paraId="798A9D69" w14:textId="77777777" w:rsidR="00AE6CAF" w:rsidRPr="00B058D7" w:rsidRDefault="00AE6CAF" w:rsidP="00B058D7">
      <w:pPr>
        <w:pStyle w:val="ListParagraph"/>
        <w:numPr>
          <w:ilvl w:val="2"/>
          <w:numId w:val="24"/>
        </w:numPr>
        <w:spacing w:after="0" w:line="240" w:lineRule="auto"/>
        <w:ind w:left="426" w:hanging="426"/>
        <w:contextualSpacing w:val="0"/>
        <w:rPr>
          <w:rFonts w:ascii="Calibri" w:hAnsi="Calibri" w:cs="Calibri"/>
          <w:bCs/>
          <w:sz w:val="24"/>
          <w:szCs w:val="24"/>
        </w:rPr>
      </w:pPr>
      <w:r w:rsidRPr="00B058D7">
        <w:rPr>
          <w:rFonts w:ascii="Calibri" w:hAnsi="Calibri" w:cs="Calibri"/>
          <w:bCs/>
          <w:sz w:val="24"/>
          <w:szCs w:val="24"/>
        </w:rPr>
        <w:t>a 1% increase in Council Tax is equivalent to £76,460 of net expenditure; and</w:t>
      </w:r>
    </w:p>
    <w:p w14:paraId="1D61EDFA" w14:textId="77777777" w:rsidR="00AE6CAF" w:rsidRPr="00B058D7" w:rsidRDefault="00AE6CAF" w:rsidP="00B058D7">
      <w:pPr>
        <w:pStyle w:val="ListParagraph"/>
        <w:numPr>
          <w:ilvl w:val="2"/>
          <w:numId w:val="24"/>
        </w:numPr>
        <w:spacing w:after="0" w:line="240" w:lineRule="auto"/>
        <w:ind w:left="426" w:hanging="426"/>
        <w:contextualSpacing w:val="0"/>
        <w:rPr>
          <w:rFonts w:ascii="Calibri" w:hAnsi="Calibri" w:cs="Calibri"/>
          <w:bCs/>
          <w:sz w:val="24"/>
          <w:szCs w:val="24"/>
        </w:rPr>
      </w:pPr>
      <w:proofErr w:type="gramStart"/>
      <w:r w:rsidRPr="00B058D7">
        <w:rPr>
          <w:rFonts w:ascii="Calibri" w:hAnsi="Calibri" w:cs="Calibri"/>
          <w:bCs/>
          <w:sz w:val="24"/>
          <w:szCs w:val="24"/>
        </w:rPr>
        <w:t>a</w:t>
      </w:r>
      <w:proofErr w:type="gramEnd"/>
      <w:r w:rsidRPr="00B058D7">
        <w:rPr>
          <w:rFonts w:ascii="Calibri" w:hAnsi="Calibri" w:cs="Calibri"/>
          <w:bCs/>
          <w:sz w:val="24"/>
          <w:szCs w:val="24"/>
        </w:rPr>
        <w:t xml:space="preserve"> £1 increase in Council Tax is equivalent to £41,210 of net expenditure.</w:t>
      </w:r>
    </w:p>
    <w:p w14:paraId="50F35C19" w14:textId="77777777" w:rsidR="00AE6CAF" w:rsidRPr="00B058D7" w:rsidRDefault="00AE6CAF" w:rsidP="00AE6CAF">
      <w:pPr>
        <w:pStyle w:val="2Paragraphs"/>
        <w:rPr>
          <w:rFonts w:ascii="Calibri" w:hAnsi="Calibri" w:cs="Calibri"/>
        </w:rPr>
      </w:pPr>
    </w:p>
    <w:p w14:paraId="2321017A" w14:textId="77777777" w:rsidR="00AE6CAF" w:rsidRPr="00B058D7" w:rsidRDefault="00AE6CAF" w:rsidP="00AE6CAF">
      <w:pPr>
        <w:pStyle w:val="2Paragraphs"/>
        <w:rPr>
          <w:rFonts w:ascii="Calibri" w:hAnsi="Calibri" w:cs="Calibri"/>
        </w:rPr>
      </w:pPr>
      <w:r w:rsidRPr="00B058D7">
        <w:rPr>
          <w:rFonts w:ascii="Calibri" w:hAnsi="Calibri" w:cs="Calibri"/>
        </w:rPr>
        <w:t>Various assumptions were required to be made when preparing the proposed MTFP budgets. The two areas where it seems that variations between the proposed budget and reality could be greatest are employee pay and income receivable. Further details on each of these are below.</w:t>
      </w:r>
    </w:p>
    <w:p w14:paraId="4442695B" w14:textId="0169459E" w:rsidR="00AE6CAF" w:rsidRDefault="00AE6CAF" w:rsidP="00AE6CAF">
      <w:pPr>
        <w:pStyle w:val="2Paragraphs"/>
        <w:rPr>
          <w:rFonts w:ascii="Calibri" w:hAnsi="Calibri" w:cs="Calibri"/>
        </w:rPr>
      </w:pPr>
    </w:p>
    <w:p w14:paraId="3EA0686F" w14:textId="2AD34058" w:rsidR="00B058D7" w:rsidRDefault="00B058D7" w:rsidP="00AE6CAF">
      <w:pPr>
        <w:pStyle w:val="2Paragraphs"/>
        <w:rPr>
          <w:rFonts w:ascii="Calibri" w:hAnsi="Calibri" w:cs="Calibri"/>
        </w:rPr>
      </w:pPr>
    </w:p>
    <w:p w14:paraId="055842FE" w14:textId="260EC7A4" w:rsidR="00B058D7" w:rsidRDefault="00B058D7" w:rsidP="00AE6CAF">
      <w:pPr>
        <w:pStyle w:val="2Paragraphs"/>
        <w:rPr>
          <w:rFonts w:ascii="Calibri" w:hAnsi="Calibri" w:cs="Calibri"/>
        </w:rPr>
      </w:pPr>
    </w:p>
    <w:p w14:paraId="200DAF5A" w14:textId="77777777" w:rsidR="00B058D7" w:rsidRPr="00B058D7" w:rsidRDefault="00B058D7" w:rsidP="00AE6CAF">
      <w:pPr>
        <w:pStyle w:val="2Paragraphs"/>
        <w:rPr>
          <w:rFonts w:ascii="Calibri" w:hAnsi="Calibri" w:cs="Calibri"/>
        </w:rPr>
      </w:pPr>
    </w:p>
    <w:p w14:paraId="42D09F33" w14:textId="314E4B1E" w:rsidR="00AE6CAF" w:rsidRPr="00B058D7" w:rsidRDefault="00AE6CAF" w:rsidP="00AE6CAF">
      <w:pPr>
        <w:pStyle w:val="2Paragraphs"/>
        <w:rPr>
          <w:rFonts w:ascii="Calibri" w:hAnsi="Calibri" w:cs="Calibri"/>
          <w:b/>
        </w:rPr>
      </w:pPr>
      <w:r w:rsidRPr="00B058D7">
        <w:rPr>
          <w:rFonts w:ascii="Calibri" w:hAnsi="Calibri" w:cs="Calibri"/>
          <w:b/>
        </w:rPr>
        <w:lastRenderedPageBreak/>
        <w:t xml:space="preserve">Employee </w:t>
      </w:r>
      <w:r w:rsidR="00B058D7">
        <w:rPr>
          <w:rFonts w:ascii="Calibri" w:hAnsi="Calibri" w:cs="Calibri"/>
          <w:b/>
        </w:rPr>
        <w:t>C</w:t>
      </w:r>
      <w:r w:rsidRPr="00B058D7">
        <w:rPr>
          <w:rFonts w:ascii="Calibri" w:hAnsi="Calibri" w:cs="Calibri"/>
          <w:b/>
        </w:rPr>
        <w:t>osts</w:t>
      </w:r>
    </w:p>
    <w:p w14:paraId="58784AE2" w14:textId="77777777" w:rsidR="00AE6CAF" w:rsidRPr="00B058D7" w:rsidRDefault="00AE6CAF" w:rsidP="00AE6CAF">
      <w:pPr>
        <w:pStyle w:val="2Paragraphs"/>
        <w:rPr>
          <w:rFonts w:ascii="Calibri" w:hAnsi="Calibri" w:cs="Calibri"/>
        </w:rPr>
      </w:pPr>
    </w:p>
    <w:p w14:paraId="19DD9466" w14:textId="77777777" w:rsidR="00AE6CAF" w:rsidRPr="00B058D7" w:rsidRDefault="00AE6CAF" w:rsidP="00AE6CAF">
      <w:pPr>
        <w:pStyle w:val="2Paragraphs"/>
        <w:rPr>
          <w:rFonts w:ascii="Calibri" w:hAnsi="Calibri" w:cs="Calibri"/>
        </w:rPr>
      </w:pPr>
      <w:r w:rsidRPr="00B058D7">
        <w:rPr>
          <w:rFonts w:ascii="Calibri" w:hAnsi="Calibri" w:cs="Calibri"/>
        </w:rPr>
        <w:t>Employee costs form a significant proportion of all district council budgets. Employee costs comprise 65% of the council’s proposed controllable service expenditure budget for 2022/23 (total spend, excluding spend on capital costs, internal recharges and Housing Benefit payments).</w:t>
      </w:r>
    </w:p>
    <w:p w14:paraId="6492CDCA" w14:textId="77777777" w:rsidR="00AE6CAF" w:rsidRPr="00B058D7" w:rsidRDefault="00AE6CAF" w:rsidP="00AE6CAF">
      <w:pPr>
        <w:pStyle w:val="2Paragraphs"/>
        <w:rPr>
          <w:rFonts w:ascii="Calibri" w:hAnsi="Calibri" w:cs="Calibri"/>
        </w:rPr>
      </w:pPr>
    </w:p>
    <w:p w14:paraId="6EEDBC2F" w14:textId="77777777" w:rsidR="00AE6CAF" w:rsidRPr="00B058D7" w:rsidRDefault="00AE6CAF" w:rsidP="00AE6CAF">
      <w:pPr>
        <w:pStyle w:val="2Paragraphs"/>
        <w:rPr>
          <w:rFonts w:ascii="Calibri" w:hAnsi="Calibri" w:cs="Calibri"/>
        </w:rPr>
      </w:pPr>
      <w:r w:rsidRPr="00B058D7">
        <w:rPr>
          <w:rFonts w:ascii="Calibri" w:hAnsi="Calibri" w:cs="Calibri"/>
        </w:rPr>
        <w:t>This makes it less likely to achieve savings solely by reducing non-employee spend. It also means that the council would need to use a greater proportion of its reserves if the costs of future years’ pay awards exceed the 2% pay award currently budgeted for 2022/23 and/or the 3% pay awards currently budgeted for subsequent years. For example, a 3% increase in basic pay for 2022/23 (1% more than currently budgeted for) would result in around £162,210 needing to be funded from reserves for 2022/23. Additional funding would also need to be found for subsequent years, as the higher than expected pay for 2022/23 would result in higher than expected pay in subsequent years.</w:t>
      </w:r>
    </w:p>
    <w:p w14:paraId="3159564E" w14:textId="77777777" w:rsidR="00AE6CAF" w:rsidRPr="00B058D7" w:rsidRDefault="00AE6CAF" w:rsidP="00AE6CAF">
      <w:pPr>
        <w:pStyle w:val="2Paragraphs"/>
        <w:rPr>
          <w:rFonts w:ascii="Calibri" w:hAnsi="Calibri" w:cs="Calibri"/>
        </w:rPr>
      </w:pPr>
    </w:p>
    <w:p w14:paraId="4B50B24C" w14:textId="77777777" w:rsidR="00AE6CAF" w:rsidRPr="00B058D7" w:rsidRDefault="00AE6CAF" w:rsidP="00AE6CAF">
      <w:pPr>
        <w:pStyle w:val="2Paragraphs"/>
        <w:rPr>
          <w:rFonts w:ascii="Calibri" w:hAnsi="Calibri" w:cs="Calibri"/>
        </w:rPr>
      </w:pPr>
      <w:r w:rsidRPr="00B058D7">
        <w:rPr>
          <w:rFonts w:ascii="Calibri" w:hAnsi="Calibri" w:cs="Calibri"/>
        </w:rPr>
        <w:t>Currently vacancies are expected to amount to around 5.6% of total employee spend to the year end of 2021/22. With this in mind a forecast of 4% in 2022/23 and 3.5% has been used in all future years.</w:t>
      </w:r>
    </w:p>
    <w:p w14:paraId="71D4DDC8" w14:textId="77777777" w:rsidR="00AE6CAF" w:rsidRPr="00B058D7" w:rsidRDefault="00AE6CAF" w:rsidP="00AE6CAF">
      <w:pPr>
        <w:pStyle w:val="2Paragraphs"/>
        <w:rPr>
          <w:rFonts w:ascii="Calibri" w:hAnsi="Calibri" w:cs="Calibri"/>
        </w:rPr>
      </w:pPr>
    </w:p>
    <w:p w14:paraId="0E4D2923" w14:textId="77777777" w:rsidR="00AE6CAF" w:rsidRPr="00B058D7" w:rsidRDefault="00AE6CAF" w:rsidP="00AE6CAF">
      <w:pPr>
        <w:pStyle w:val="2Paragraphs"/>
        <w:rPr>
          <w:rFonts w:ascii="Calibri" w:hAnsi="Calibri" w:cs="Calibri"/>
          <w:b/>
        </w:rPr>
      </w:pPr>
      <w:r w:rsidRPr="00B058D7">
        <w:rPr>
          <w:rFonts w:ascii="Calibri" w:hAnsi="Calibri" w:cs="Calibri"/>
          <w:b/>
        </w:rPr>
        <w:t>Income</w:t>
      </w:r>
    </w:p>
    <w:p w14:paraId="412FD159" w14:textId="77777777" w:rsidR="00AE6CAF" w:rsidRPr="00B058D7" w:rsidRDefault="00AE6CAF" w:rsidP="00AE6CAF">
      <w:pPr>
        <w:pStyle w:val="2Paragraphs"/>
        <w:rPr>
          <w:rFonts w:ascii="Calibri" w:hAnsi="Calibri" w:cs="Calibri"/>
        </w:rPr>
      </w:pPr>
    </w:p>
    <w:p w14:paraId="627F0E8F" w14:textId="77777777" w:rsidR="00AE6CAF" w:rsidRPr="00B058D7" w:rsidRDefault="00AE6CAF" w:rsidP="00AE6CAF">
      <w:pPr>
        <w:pStyle w:val="2Paragraphs"/>
        <w:rPr>
          <w:rFonts w:ascii="Calibri" w:hAnsi="Calibri" w:cs="Calibri"/>
        </w:rPr>
      </w:pPr>
      <w:r w:rsidRPr="00B058D7">
        <w:rPr>
          <w:rFonts w:ascii="Calibri" w:hAnsi="Calibri" w:cs="Calibri"/>
        </w:rPr>
        <w:t>A significant part of the council’s annual net budget is dependent on income from rents; sales, fees and charges; and other receipts. Officers have reviewed the income that services have achieved against the current and previous years’ budgets, and have considered factors expected to affect future income levels, to ensure the 2022/23 income budgets for services have been set at levels considered achievable. As COVID-19 has had a major effect on the way that consumers use services, this has impacted the expected amount of income which may be generated in future years. Officers will monitor this closely over the coming year and revised forecasts over the medium term will be updated for the MTFP to be developed for the period between 2023/24 and 2026/27.</w:t>
      </w:r>
    </w:p>
    <w:p w14:paraId="3F5E6BE0" w14:textId="77777777" w:rsidR="00AE6CAF" w:rsidRPr="00B058D7" w:rsidRDefault="00AE6CAF" w:rsidP="00AE6CAF">
      <w:pPr>
        <w:pStyle w:val="2Paragraphs"/>
        <w:rPr>
          <w:rFonts w:ascii="Calibri" w:hAnsi="Calibri" w:cs="Calibri"/>
        </w:rPr>
      </w:pPr>
    </w:p>
    <w:p w14:paraId="245D47BE" w14:textId="77777777" w:rsidR="00AE6CAF" w:rsidRPr="00B058D7" w:rsidRDefault="00AE6CAF" w:rsidP="00AE6CAF">
      <w:pPr>
        <w:pStyle w:val="2Paragraphs"/>
        <w:rPr>
          <w:rFonts w:ascii="Calibri" w:hAnsi="Calibri" w:cs="Calibri"/>
        </w:rPr>
      </w:pPr>
      <w:r w:rsidRPr="00B058D7">
        <w:rPr>
          <w:rFonts w:ascii="Calibri" w:hAnsi="Calibri" w:cs="Calibri"/>
        </w:rPr>
        <w:t>Significant underperformance against budgeted income would increase the council’s annual net expenditure, and thus place unbudgeted demand on council reserves. A 1% reduction in council income from fees and charges would cost around £57,190 in 2022/23.</w:t>
      </w:r>
    </w:p>
    <w:p w14:paraId="299615EC" w14:textId="77777777" w:rsidR="00AE6CAF" w:rsidRPr="00B058D7" w:rsidRDefault="00AE6CAF" w:rsidP="00AE6CAF">
      <w:pPr>
        <w:pStyle w:val="2Paragraphs"/>
        <w:rPr>
          <w:rFonts w:ascii="Calibri" w:hAnsi="Calibri" w:cs="Calibri"/>
        </w:rPr>
      </w:pPr>
    </w:p>
    <w:p w14:paraId="7DD3C6A9" w14:textId="68E2A462" w:rsidR="00AE6CAF" w:rsidRPr="00B058D7" w:rsidRDefault="00B058D7" w:rsidP="00AE6CAF">
      <w:pPr>
        <w:pStyle w:val="2Paragraphs"/>
        <w:rPr>
          <w:rFonts w:ascii="Calibri" w:hAnsi="Calibri" w:cs="Calibri"/>
          <w:b/>
        </w:rPr>
      </w:pPr>
      <w:r>
        <w:rPr>
          <w:rFonts w:ascii="Calibri" w:hAnsi="Calibri" w:cs="Calibri"/>
          <w:b/>
        </w:rPr>
        <w:t>Interest R</w:t>
      </w:r>
      <w:r w:rsidR="00AE6CAF" w:rsidRPr="00B058D7">
        <w:rPr>
          <w:rFonts w:ascii="Calibri" w:hAnsi="Calibri" w:cs="Calibri"/>
          <w:b/>
        </w:rPr>
        <w:t>ates</w:t>
      </w:r>
    </w:p>
    <w:p w14:paraId="40794FFC" w14:textId="77777777" w:rsidR="00AE6CAF" w:rsidRPr="00B058D7" w:rsidRDefault="00AE6CAF" w:rsidP="00AE6CAF">
      <w:pPr>
        <w:pStyle w:val="2Paragraphs"/>
        <w:rPr>
          <w:rFonts w:ascii="Calibri" w:hAnsi="Calibri" w:cs="Calibri"/>
        </w:rPr>
      </w:pPr>
    </w:p>
    <w:p w14:paraId="08FE4380" w14:textId="77777777" w:rsidR="00AE6CAF" w:rsidRPr="00B058D7" w:rsidRDefault="00AE6CAF" w:rsidP="00AE6CAF">
      <w:pPr>
        <w:pStyle w:val="2Paragraphs"/>
        <w:rPr>
          <w:rFonts w:ascii="Calibri" w:hAnsi="Calibri" w:cs="Calibri"/>
        </w:rPr>
      </w:pPr>
      <w:r w:rsidRPr="00B058D7">
        <w:rPr>
          <w:rFonts w:ascii="Calibri" w:hAnsi="Calibri" w:cs="Calibri"/>
        </w:rPr>
        <w:t>The proposed MTFP budgets include amounts for interest payable and interest receivable. This is because the council expects that it will both borrow money and lend money throughout the four years of the MTFP.</w:t>
      </w:r>
    </w:p>
    <w:p w14:paraId="1D704DE2" w14:textId="77777777" w:rsidR="00AE6CAF" w:rsidRPr="00B058D7" w:rsidRDefault="00AE6CAF" w:rsidP="00AE6CAF">
      <w:pPr>
        <w:pStyle w:val="2Paragraphs"/>
        <w:rPr>
          <w:rFonts w:ascii="Calibri" w:hAnsi="Calibri" w:cs="Calibri"/>
        </w:rPr>
      </w:pPr>
    </w:p>
    <w:p w14:paraId="78689C68" w14:textId="77777777" w:rsidR="00AE6CAF" w:rsidRPr="00B058D7" w:rsidRDefault="00AE6CAF" w:rsidP="00AE6CAF">
      <w:pPr>
        <w:pStyle w:val="2Paragraphs"/>
        <w:rPr>
          <w:rFonts w:ascii="Calibri" w:hAnsi="Calibri" w:cs="Calibri"/>
        </w:rPr>
      </w:pPr>
      <w:r w:rsidRPr="00B058D7">
        <w:rPr>
          <w:rFonts w:ascii="Calibri" w:hAnsi="Calibri" w:cs="Calibri"/>
        </w:rPr>
        <w:t>The council anticipates that it will use fixed interest rate loans when borrowing. This is so that the council knows exactly how much its loans will cost over their durations, and as this mitigates against the risk of interest rates and thus costs rising significantly over the loan period. As borrowing would be for longer than four years, the risk of the council being unable to borrow to repay existing debt (refinancing risk) does not apply.</w:t>
      </w:r>
    </w:p>
    <w:p w14:paraId="604542A8" w14:textId="77777777" w:rsidR="00AE6CAF" w:rsidRPr="00B058D7" w:rsidRDefault="00AE6CAF" w:rsidP="00AE6CAF">
      <w:pPr>
        <w:pStyle w:val="2Paragraphs"/>
        <w:rPr>
          <w:rFonts w:ascii="Calibri" w:hAnsi="Calibri" w:cs="Calibri"/>
        </w:rPr>
      </w:pPr>
    </w:p>
    <w:p w14:paraId="5C1B110E" w14:textId="77777777" w:rsidR="00AE6CAF" w:rsidRPr="00B058D7" w:rsidRDefault="00AE6CAF" w:rsidP="00AE6CAF">
      <w:pPr>
        <w:pStyle w:val="2Paragraphs"/>
        <w:rPr>
          <w:rFonts w:ascii="Calibri" w:hAnsi="Calibri" w:cs="Calibri"/>
        </w:rPr>
      </w:pPr>
      <w:r w:rsidRPr="00B058D7">
        <w:rPr>
          <w:rFonts w:ascii="Calibri" w:hAnsi="Calibri" w:cs="Calibri"/>
        </w:rPr>
        <w:t>The budgeted amounts have accounted for factors such as the amount of council funds expected to be available. The actual amounts of council interest payable and receivable for 2022/23 will likely differ from those budgeted.</w:t>
      </w:r>
    </w:p>
    <w:p w14:paraId="156A20C1" w14:textId="77777777" w:rsidR="00AE6CAF" w:rsidRPr="00B058D7" w:rsidRDefault="00AE6CAF" w:rsidP="00AE6CAF">
      <w:pPr>
        <w:pStyle w:val="2Paragraphs"/>
        <w:rPr>
          <w:rFonts w:ascii="Calibri" w:hAnsi="Calibri" w:cs="Calibri"/>
        </w:rPr>
      </w:pPr>
    </w:p>
    <w:p w14:paraId="23773759" w14:textId="77777777" w:rsidR="00AE6CAF" w:rsidRPr="00B058D7" w:rsidRDefault="00AE6CAF" w:rsidP="00AE6CAF">
      <w:pPr>
        <w:pStyle w:val="2Paragraphs"/>
        <w:rPr>
          <w:rFonts w:ascii="Calibri" w:hAnsi="Calibri" w:cs="Calibri"/>
        </w:rPr>
      </w:pPr>
      <w:r w:rsidRPr="00B058D7">
        <w:rPr>
          <w:rFonts w:ascii="Calibri" w:hAnsi="Calibri" w:cs="Calibri"/>
        </w:rPr>
        <w:t>The impact of a 1% change in interest rate would be insignificant on the council’s overall budget.</w:t>
      </w:r>
    </w:p>
    <w:p w14:paraId="2F9323C1" w14:textId="77777777" w:rsidR="00AE6CAF" w:rsidRPr="00B058D7" w:rsidRDefault="00AE6CAF" w:rsidP="00AE6CAF">
      <w:pPr>
        <w:spacing w:after="0" w:line="240" w:lineRule="auto"/>
        <w:jc w:val="both"/>
        <w:rPr>
          <w:rFonts w:ascii="Calibri" w:hAnsi="Calibri" w:cs="Calibri"/>
          <w:sz w:val="24"/>
          <w:szCs w:val="24"/>
          <w:highlight w:val="lightGray"/>
        </w:rPr>
      </w:pPr>
    </w:p>
    <w:p w14:paraId="3ACF7576" w14:textId="77777777" w:rsidR="00AE6CAF" w:rsidRPr="00B058D7" w:rsidRDefault="00AE6CAF" w:rsidP="00AE6CAF">
      <w:pPr>
        <w:pStyle w:val="2Paragraphs"/>
        <w:rPr>
          <w:rFonts w:ascii="Calibri" w:hAnsi="Calibri" w:cs="Calibri"/>
          <w:b/>
        </w:rPr>
      </w:pPr>
      <w:r w:rsidRPr="00B058D7">
        <w:rPr>
          <w:rFonts w:ascii="Calibri" w:hAnsi="Calibri" w:cs="Calibri"/>
          <w:b/>
        </w:rPr>
        <w:t>Inflation</w:t>
      </w:r>
    </w:p>
    <w:p w14:paraId="43D9FB3F" w14:textId="77777777" w:rsidR="00AE6CAF" w:rsidRPr="00B058D7" w:rsidRDefault="00AE6CAF" w:rsidP="00AE6CAF">
      <w:pPr>
        <w:spacing w:after="0" w:line="240" w:lineRule="auto"/>
        <w:jc w:val="both"/>
        <w:rPr>
          <w:rFonts w:ascii="Calibri" w:hAnsi="Calibri" w:cs="Calibri"/>
          <w:sz w:val="24"/>
          <w:szCs w:val="24"/>
          <w:highlight w:val="lightGray"/>
        </w:rPr>
      </w:pPr>
    </w:p>
    <w:p w14:paraId="1C886F63" w14:textId="77777777" w:rsidR="00AE6CAF" w:rsidRPr="00B058D7" w:rsidRDefault="00AE6CAF" w:rsidP="00AE6CAF">
      <w:pPr>
        <w:spacing w:after="0" w:line="240" w:lineRule="auto"/>
        <w:jc w:val="both"/>
        <w:rPr>
          <w:rFonts w:ascii="Calibri" w:eastAsia="Times New Roman" w:hAnsi="Calibri" w:cs="Calibri"/>
          <w:bCs/>
          <w:sz w:val="24"/>
          <w:szCs w:val="24"/>
        </w:rPr>
      </w:pPr>
      <w:r w:rsidRPr="00B058D7">
        <w:rPr>
          <w:rFonts w:ascii="Calibri" w:eastAsia="Times New Roman" w:hAnsi="Calibri" w:cs="Calibri"/>
          <w:bCs/>
          <w:sz w:val="24"/>
          <w:szCs w:val="24"/>
        </w:rPr>
        <w:t>Most income budgets and non-pay expenditure budgets have been uplifted by 3%. Some costs, such as insurance and utilities, are expected to increase by more than 3%; and others, such as fixed-price goods and services, are expected to increase by less than 3%.</w:t>
      </w:r>
    </w:p>
    <w:p w14:paraId="3925F817" w14:textId="77777777" w:rsidR="00AE6CAF" w:rsidRPr="00B058D7" w:rsidRDefault="00AE6CAF" w:rsidP="00AE6CAF">
      <w:pPr>
        <w:spacing w:after="0" w:line="240" w:lineRule="auto"/>
        <w:jc w:val="both"/>
        <w:rPr>
          <w:rFonts w:ascii="Calibri" w:eastAsia="Times New Roman" w:hAnsi="Calibri" w:cs="Calibri"/>
          <w:bCs/>
          <w:sz w:val="24"/>
          <w:szCs w:val="24"/>
        </w:rPr>
      </w:pPr>
    </w:p>
    <w:p w14:paraId="00AB5D01" w14:textId="77777777" w:rsidR="00AE6CAF" w:rsidRPr="00B058D7" w:rsidRDefault="00AE6CAF" w:rsidP="00AE6CAF">
      <w:pPr>
        <w:spacing w:after="0" w:line="240" w:lineRule="auto"/>
        <w:jc w:val="both"/>
        <w:rPr>
          <w:rFonts w:ascii="Calibri" w:hAnsi="Calibri" w:cs="Calibri"/>
          <w:sz w:val="24"/>
          <w:szCs w:val="24"/>
          <w:highlight w:val="lightGray"/>
        </w:rPr>
      </w:pPr>
      <w:r w:rsidRPr="00B058D7">
        <w:rPr>
          <w:rFonts w:ascii="Calibri" w:eastAsia="Times New Roman" w:hAnsi="Calibri" w:cs="Calibri"/>
          <w:bCs/>
          <w:sz w:val="24"/>
          <w:szCs w:val="24"/>
        </w:rPr>
        <w:t>The most recent month for which inflation data was available at the time of writing, December</w:t>
      </w:r>
      <w:r w:rsidRPr="00B058D7">
        <w:rPr>
          <w:rFonts w:ascii="Calibri" w:hAnsi="Calibri" w:cs="Calibri"/>
          <w:sz w:val="24"/>
          <w:szCs w:val="24"/>
        </w:rPr>
        <w:t xml:space="preserve"> 2020, had a 5.4% increase in inflation (Consumer Prices Index (CPI)) over the 12 months of the 2020 calendar year.</w:t>
      </w:r>
    </w:p>
    <w:p w14:paraId="491BB040" w14:textId="77777777" w:rsidR="00AE6CAF" w:rsidRPr="00B058D7" w:rsidRDefault="00AE6CAF" w:rsidP="00AE6CAF">
      <w:pPr>
        <w:pStyle w:val="2Paragraphs"/>
        <w:rPr>
          <w:rFonts w:ascii="Calibri" w:hAnsi="Calibri" w:cs="Calibri"/>
        </w:rPr>
      </w:pPr>
    </w:p>
    <w:p w14:paraId="46456CA1" w14:textId="77777777" w:rsidR="00AE6CAF" w:rsidRPr="00B058D7" w:rsidRDefault="00AE6CAF" w:rsidP="00AE6CAF">
      <w:pPr>
        <w:pStyle w:val="2Paragraphs"/>
        <w:rPr>
          <w:rFonts w:ascii="Calibri" w:hAnsi="Calibri" w:cs="Calibri"/>
        </w:rPr>
      </w:pPr>
      <w:r w:rsidRPr="00B058D7">
        <w:rPr>
          <w:rFonts w:ascii="Calibri" w:hAnsi="Calibri" w:cs="Calibri"/>
        </w:rPr>
        <w:t>The small differences anticipated between actual inflation rates and the 3% budgeted for are expected to have insignificant impact on the council’s budget.</w:t>
      </w:r>
    </w:p>
    <w:p w14:paraId="70653893" w14:textId="77777777" w:rsidR="00AE6CAF" w:rsidRPr="00B058D7" w:rsidRDefault="00AE6CAF" w:rsidP="00AE6CAF">
      <w:pPr>
        <w:pStyle w:val="BodyTextIndent"/>
        <w:tabs>
          <w:tab w:val="left" w:pos="993"/>
        </w:tabs>
        <w:spacing w:after="0" w:line="240" w:lineRule="auto"/>
        <w:ind w:left="0"/>
        <w:jc w:val="both"/>
        <w:rPr>
          <w:rFonts w:ascii="Calibri" w:hAnsi="Calibri" w:cs="Calibri"/>
          <w:sz w:val="24"/>
          <w:szCs w:val="24"/>
          <w:highlight w:val="lightGray"/>
        </w:rPr>
      </w:pPr>
    </w:p>
    <w:p w14:paraId="7638424E" w14:textId="77777777" w:rsidR="00AE6CAF" w:rsidRPr="00B058D7" w:rsidRDefault="00AE6CAF" w:rsidP="00AE6CAF">
      <w:pPr>
        <w:pStyle w:val="ListParagraph"/>
        <w:numPr>
          <w:ilvl w:val="0"/>
          <w:numId w:val="25"/>
        </w:numPr>
        <w:spacing w:after="0" w:line="240" w:lineRule="auto"/>
        <w:jc w:val="both"/>
        <w:rPr>
          <w:rFonts w:ascii="Calibri" w:hAnsi="Calibri" w:cs="Calibri"/>
          <w:b/>
          <w:sz w:val="24"/>
          <w:szCs w:val="24"/>
          <w:u w:val="single"/>
        </w:rPr>
      </w:pPr>
      <w:r w:rsidRPr="00B058D7">
        <w:rPr>
          <w:rFonts w:ascii="Calibri" w:hAnsi="Calibri" w:cs="Calibri"/>
          <w:b/>
          <w:sz w:val="24"/>
          <w:szCs w:val="24"/>
          <w:u w:val="single"/>
        </w:rPr>
        <w:t>Capital Investment Programme and Funding</w:t>
      </w:r>
    </w:p>
    <w:p w14:paraId="6754A18B" w14:textId="77777777" w:rsidR="00AE6CAF" w:rsidRPr="00B058D7" w:rsidRDefault="00AE6CAF" w:rsidP="00AE6CAF">
      <w:pPr>
        <w:spacing w:after="0" w:line="240" w:lineRule="auto"/>
        <w:jc w:val="both"/>
        <w:rPr>
          <w:rFonts w:ascii="Calibri" w:hAnsi="Calibri" w:cs="Calibri"/>
          <w:sz w:val="24"/>
          <w:szCs w:val="24"/>
        </w:rPr>
      </w:pPr>
    </w:p>
    <w:p w14:paraId="34C65166" w14:textId="14FE692B" w:rsidR="00AE6CAF" w:rsidRPr="00B058D7" w:rsidRDefault="00AE6CAF" w:rsidP="00AE6CAF">
      <w:pPr>
        <w:spacing w:after="0" w:line="240" w:lineRule="auto"/>
        <w:jc w:val="both"/>
        <w:rPr>
          <w:rFonts w:ascii="Calibri" w:hAnsi="Calibri" w:cs="Calibri"/>
          <w:sz w:val="24"/>
          <w:szCs w:val="24"/>
          <w:highlight w:val="yellow"/>
        </w:rPr>
      </w:pPr>
      <w:r w:rsidRPr="00B058D7">
        <w:rPr>
          <w:rFonts w:ascii="Calibri" w:hAnsi="Calibri" w:cs="Calibri"/>
          <w:sz w:val="24"/>
          <w:szCs w:val="24"/>
        </w:rPr>
        <w:t>The overall proposed General Fund Capital Programme for the period from 2022/23 and 2025/26 totals £</w:t>
      </w:r>
      <w:r w:rsidR="001A5EFA">
        <w:rPr>
          <w:rFonts w:ascii="Calibri" w:hAnsi="Calibri" w:cs="Calibri"/>
          <w:sz w:val="24"/>
          <w:szCs w:val="24"/>
        </w:rPr>
        <w:t>75.289</w:t>
      </w:r>
      <w:r w:rsidRPr="00B058D7">
        <w:rPr>
          <w:rFonts w:ascii="Calibri" w:hAnsi="Calibri" w:cs="Calibri"/>
          <w:sz w:val="24"/>
          <w:szCs w:val="24"/>
        </w:rPr>
        <w:t xml:space="preserve">m. £36.280m is financed by external grant funding for the Southern Link Road (SLR), </w:t>
      </w:r>
      <w:proofErr w:type="spellStart"/>
      <w:r w:rsidRPr="00B058D7">
        <w:rPr>
          <w:rFonts w:ascii="Calibri" w:hAnsi="Calibri" w:cs="Calibri"/>
          <w:sz w:val="24"/>
          <w:szCs w:val="24"/>
        </w:rPr>
        <w:t>Stodman</w:t>
      </w:r>
      <w:proofErr w:type="spellEnd"/>
      <w:r w:rsidRPr="00B058D7">
        <w:rPr>
          <w:rFonts w:ascii="Calibri" w:hAnsi="Calibri" w:cs="Calibri"/>
          <w:sz w:val="24"/>
          <w:szCs w:val="24"/>
        </w:rPr>
        <w:t xml:space="preserve"> Street Regeneration, Castle Gatehouse, Disabled Facilities Grant (DFG’s) and flood grants. One of the grants in relation to the SLR have already been received and are held on the Council’s balance sheet as a conditional grant, albeit further funding has been approved from the Levelling up fund which will ensure the delivery of the scheme. This levelling up funding has yet to be received by the Council. The DFG funding is received via the Better Care Fund (BCF) and is subject to an annual bidding process.</w:t>
      </w:r>
    </w:p>
    <w:p w14:paraId="372D9238" w14:textId="77777777" w:rsidR="00AE6CAF" w:rsidRPr="00B058D7" w:rsidRDefault="00AE6CAF" w:rsidP="00AE6CAF">
      <w:pPr>
        <w:spacing w:after="0" w:line="240" w:lineRule="auto"/>
        <w:jc w:val="both"/>
        <w:rPr>
          <w:rFonts w:ascii="Calibri" w:hAnsi="Calibri" w:cs="Calibri"/>
          <w:sz w:val="24"/>
          <w:szCs w:val="24"/>
        </w:rPr>
      </w:pPr>
    </w:p>
    <w:p w14:paraId="6A4F31DA"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Other external financing in the form of contributions from external partners amounts to £0.225m. This relates to an expectation of £0.225m of S106 funding towards the works to be identified at Southwell Leisure Centre.</w:t>
      </w:r>
    </w:p>
    <w:p w14:paraId="7B386B48" w14:textId="77777777" w:rsidR="00AE6CAF" w:rsidRPr="00B058D7" w:rsidRDefault="00AE6CAF" w:rsidP="00AE6CAF">
      <w:pPr>
        <w:spacing w:after="0" w:line="240" w:lineRule="auto"/>
        <w:jc w:val="both"/>
        <w:rPr>
          <w:rFonts w:ascii="Calibri" w:hAnsi="Calibri" w:cs="Calibri"/>
          <w:sz w:val="24"/>
          <w:szCs w:val="24"/>
          <w:highlight w:val="yellow"/>
        </w:rPr>
      </w:pPr>
    </w:p>
    <w:p w14:paraId="3E78A95C"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 xml:space="preserve">Council internal capital resources employed amount to £8.815m, which relates to the Council’s contribution to the funding gap in the Southern Link Road, </w:t>
      </w:r>
      <w:proofErr w:type="spellStart"/>
      <w:r w:rsidRPr="00B058D7">
        <w:rPr>
          <w:rFonts w:ascii="Calibri" w:hAnsi="Calibri" w:cs="Calibri"/>
          <w:sz w:val="24"/>
          <w:szCs w:val="24"/>
        </w:rPr>
        <w:t>Yorke</w:t>
      </w:r>
      <w:proofErr w:type="spellEnd"/>
      <w:r w:rsidRPr="00B058D7">
        <w:rPr>
          <w:rFonts w:ascii="Calibri" w:hAnsi="Calibri" w:cs="Calibri"/>
          <w:sz w:val="24"/>
          <w:szCs w:val="24"/>
        </w:rPr>
        <w:t xml:space="preserve"> Drive Pavilion, the Council’s contribution to the works at Southwell Leisure Centre as described above and replacing parts of the Council’s refuse fleet and other equipment.</w:t>
      </w:r>
    </w:p>
    <w:p w14:paraId="3606002B" w14:textId="77777777" w:rsidR="00AE6CAF" w:rsidRPr="00B058D7" w:rsidRDefault="00AE6CAF" w:rsidP="00AE6CAF">
      <w:pPr>
        <w:spacing w:after="0" w:line="240" w:lineRule="auto"/>
        <w:jc w:val="both"/>
        <w:rPr>
          <w:rFonts w:ascii="Calibri" w:hAnsi="Calibri" w:cs="Calibri"/>
          <w:sz w:val="24"/>
          <w:szCs w:val="24"/>
        </w:rPr>
      </w:pPr>
    </w:p>
    <w:p w14:paraId="1F4151FB" w14:textId="77777777"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 xml:space="preserve">In 2022/23 Community Infrastructure Levy receipts will be used to finance the cost of £5.540m to improve the A1 overbridge at </w:t>
      </w:r>
      <w:proofErr w:type="spellStart"/>
      <w:r w:rsidRPr="00B058D7">
        <w:rPr>
          <w:rFonts w:ascii="Calibri" w:hAnsi="Calibri" w:cs="Calibri"/>
          <w:sz w:val="24"/>
          <w:szCs w:val="24"/>
        </w:rPr>
        <w:t>Fernwood</w:t>
      </w:r>
      <w:proofErr w:type="spellEnd"/>
      <w:r w:rsidRPr="00B058D7">
        <w:rPr>
          <w:rFonts w:ascii="Calibri" w:hAnsi="Calibri" w:cs="Calibri"/>
          <w:sz w:val="24"/>
          <w:szCs w:val="24"/>
        </w:rPr>
        <w:t xml:space="preserve">. This bridge is part of the highways mitigation work to deliver the expansion of </w:t>
      </w:r>
      <w:proofErr w:type="spellStart"/>
      <w:r w:rsidRPr="00B058D7">
        <w:rPr>
          <w:rFonts w:ascii="Calibri" w:hAnsi="Calibri" w:cs="Calibri"/>
          <w:sz w:val="24"/>
          <w:szCs w:val="24"/>
        </w:rPr>
        <w:t>Fernwood</w:t>
      </w:r>
      <w:proofErr w:type="spellEnd"/>
      <w:r w:rsidRPr="00B058D7">
        <w:rPr>
          <w:rFonts w:ascii="Calibri" w:hAnsi="Calibri" w:cs="Calibri"/>
          <w:sz w:val="24"/>
          <w:szCs w:val="24"/>
        </w:rPr>
        <w:t>.</w:t>
      </w:r>
    </w:p>
    <w:p w14:paraId="27F2D44A" w14:textId="77777777" w:rsidR="00AE6CAF" w:rsidRPr="00B058D7" w:rsidRDefault="00AE6CAF" w:rsidP="00AE6CAF">
      <w:pPr>
        <w:spacing w:after="0" w:line="240" w:lineRule="auto"/>
        <w:jc w:val="both"/>
        <w:rPr>
          <w:rFonts w:ascii="Calibri" w:hAnsi="Calibri" w:cs="Calibri"/>
          <w:sz w:val="24"/>
          <w:szCs w:val="24"/>
        </w:rPr>
      </w:pPr>
    </w:p>
    <w:p w14:paraId="29C6E703" w14:textId="285D722D" w:rsidR="00AE6CAF" w:rsidRPr="00B058D7" w:rsidRDefault="00AE6CAF" w:rsidP="00AE6CAF">
      <w:pPr>
        <w:spacing w:after="0" w:line="240" w:lineRule="auto"/>
        <w:jc w:val="both"/>
        <w:rPr>
          <w:rFonts w:ascii="Calibri" w:hAnsi="Calibri" w:cs="Calibri"/>
          <w:sz w:val="24"/>
          <w:szCs w:val="24"/>
        </w:rPr>
      </w:pPr>
      <w:r w:rsidRPr="00B058D7">
        <w:rPr>
          <w:rFonts w:ascii="Calibri" w:hAnsi="Calibri" w:cs="Calibri"/>
          <w:sz w:val="24"/>
          <w:szCs w:val="24"/>
        </w:rPr>
        <w:t>Borrowing is the balancing figure fo</w:t>
      </w:r>
      <w:r w:rsidR="001A5EFA">
        <w:rPr>
          <w:rFonts w:ascii="Calibri" w:hAnsi="Calibri" w:cs="Calibri"/>
          <w:sz w:val="24"/>
          <w:szCs w:val="24"/>
        </w:rPr>
        <w:t>r the capital expenditure at £24</w:t>
      </w:r>
      <w:r w:rsidRPr="00B058D7">
        <w:rPr>
          <w:rFonts w:ascii="Calibri" w:hAnsi="Calibri" w:cs="Calibri"/>
          <w:sz w:val="24"/>
          <w:szCs w:val="24"/>
        </w:rPr>
        <w:t>.</w:t>
      </w:r>
      <w:r w:rsidR="001A5EFA">
        <w:rPr>
          <w:rFonts w:ascii="Calibri" w:hAnsi="Calibri" w:cs="Calibri"/>
          <w:sz w:val="24"/>
          <w:szCs w:val="24"/>
        </w:rPr>
        <w:t>42</w:t>
      </w:r>
      <w:bookmarkStart w:id="9" w:name="_GoBack"/>
      <w:bookmarkEnd w:id="9"/>
      <w:r w:rsidRPr="00B058D7">
        <w:rPr>
          <w:rFonts w:ascii="Calibri" w:hAnsi="Calibri" w:cs="Calibri"/>
          <w:sz w:val="24"/>
          <w:szCs w:val="24"/>
        </w:rPr>
        <w:t>9m. This type of financing, attracts a charge to revenue called the Minimum Revenue Provision (MRP) calculated using the asset life method as approved by Council within the Treasury Management Strategy each year. The current method approved is the asset life method. This apportions notional borrowing incurred over the life of the asset, which is in line with the timeline for receiving economic benefits generated by the asset.</w:t>
      </w:r>
    </w:p>
    <w:p w14:paraId="4D30C81D" w14:textId="5132720E" w:rsidR="003F2B4F" w:rsidRPr="00B058D7" w:rsidRDefault="003F2B4F" w:rsidP="00AE6CAF">
      <w:pPr>
        <w:spacing w:after="0" w:line="240" w:lineRule="auto"/>
        <w:jc w:val="both"/>
        <w:rPr>
          <w:rFonts w:ascii="Calibri" w:hAnsi="Calibri" w:cs="Calibri"/>
          <w:sz w:val="24"/>
          <w:szCs w:val="24"/>
        </w:rPr>
      </w:pPr>
    </w:p>
    <w:sectPr w:rsidR="003F2B4F" w:rsidRPr="00B058D7" w:rsidSect="003F2B4F">
      <w:headerReference w:type="default" r:id="rId8"/>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2038" w14:textId="77777777" w:rsidR="009703C4" w:rsidRDefault="009703C4" w:rsidP="00226B5C">
      <w:pPr>
        <w:spacing w:after="0" w:line="240" w:lineRule="auto"/>
      </w:pPr>
      <w:r>
        <w:separator/>
      </w:r>
    </w:p>
  </w:endnote>
  <w:endnote w:type="continuationSeparator" w:id="0">
    <w:p w14:paraId="71D05D45" w14:textId="77777777" w:rsidR="009703C4" w:rsidRDefault="009703C4" w:rsidP="0022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F95DD" w14:textId="77777777" w:rsidR="009703C4" w:rsidRDefault="009703C4" w:rsidP="00226B5C">
      <w:pPr>
        <w:spacing w:after="0" w:line="240" w:lineRule="auto"/>
      </w:pPr>
      <w:r>
        <w:separator/>
      </w:r>
    </w:p>
  </w:footnote>
  <w:footnote w:type="continuationSeparator" w:id="0">
    <w:p w14:paraId="796A2C8C" w14:textId="77777777" w:rsidR="009703C4" w:rsidRDefault="009703C4" w:rsidP="00226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FCA7" w14:textId="77777777" w:rsidR="009703C4" w:rsidRPr="00226B5C" w:rsidRDefault="009703C4" w:rsidP="00226B5C">
    <w:pPr>
      <w:pStyle w:val="Header"/>
      <w:jc w:val="right"/>
      <w:rPr>
        <w:b/>
        <w:sz w:val="24"/>
        <w:szCs w:val="24"/>
      </w:rPr>
    </w:pPr>
    <w:r w:rsidRPr="00226B5C">
      <w:rPr>
        <w:b/>
        <w:sz w:val="24"/>
        <w:szCs w:val="24"/>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1F47"/>
    <w:multiLevelType w:val="hybridMultilevel"/>
    <w:tmpl w:val="0F60485A"/>
    <w:lvl w:ilvl="0" w:tplc="BF86E886">
      <w:start w:val="1"/>
      <w:numFmt w:val="decimal"/>
      <w:lvlText w:val="1.%1"/>
      <w:lvlJc w:val="left"/>
      <w:pPr>
        <w:ind w:left="720" w:hanging="720"/>
      </w:pPr>
      <w:rPr>
        <w:rFonts w:hint="default"/>
      </w:rPr>
    </w:lvl>
    <w:lvl w:ilvl="1" w:tplc="AA46BE82">
      <w:start w:val="1"/>
      <w:numFmt w:val="decimal"/>
      <w:lvlText w:val="2.%2"/>
      <w:lvlJc w:val="left"/>
      <w:pPr>
        <w:ind w:left="720" w:hanging="720"/>
      </w:pPr>
      <w:rPr>
        <w:rFonts w:hint="default"/>
      </w:rPr>
    </w:lvl>
    <w:lvl w:ilvl="2" w:tplc="F7948D58">
      <w:start w:val="1"/>
      <w:numFmt w:val="lowerLetter"/>
      <w:lvlText w:val="%3)"/>
      <w:lvlJc w:val="right"/>
      <w:pPr>
        <w:ind w:left="1418" w:hanging="567"/>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05BC9"/>
    <w:multiLevelType w:val="hybridMultilevel"/>
    <w:tmpl w:val="E9841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3029E"/>
    <w:multiLevelType w:val="hybridMultilevel"/>
    <w:tmpl w:val="2E94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22899"/>
    <w:multiLevelType w:val="multilevel"/>
    <w:tmpl w:val="608442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3017C3"/>
    <w:multiLevelType w:val="hybridMultilevel"/>
    <w:tmpl w:val="790E9F86"/>
    <w:lvl w:ilvl="0" w:tplc="66F08E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66CAE"/>
    <w:multiLevelType w:val="multilevel"/>
    <w:tmpl w:val="6FD2407A"/>
    <w:lvl w:ilvl="0">
      <w:start w:val="1"/>
      <w:numFmt w:val="decimal"/>
      <w:lvlText w:val="4.%1"/>
      <w:lvlJc w:val="left"/>
      <w:pPr>
        <w:ind w:left="720" w:hanging="72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EF6534"/>
    <w:multiLevelType w:val="hybridMultilevel"/>
    <w:tmpl w:val="E9841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F0DF7"/>
    <w:multiLevelType w:val="multilevel"/>
    <w:tmpl w:val="0ADC1F70"/>
    <w:lvl w:ilvl="0">
      <w:start w:val="1"/>
      <w:numFmt w:val="decimal"/>
      <w:lvlText w:val="11.%1"/>
      <w:lvlJc w:val="left"/>
      <w:pPr>
        <w:ind w:left="720" w:hanging="36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11.%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794232"/>
    <w:multiLevelType w:val="hybridMultilevel"/>
    <w:tmpl w:val="615A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02201"/>
    <w:multiLevelType w:val="hybridMultilevel"/>
    <w:tmpl w:val="E7125FC6"/>
    <w:lvl w:ilvl="0" w:tplc="B276E384">
      <w:start w:val="1"/>
      <w:numFmt w:val="lowerLetter"/>
      <w:lvlText w:val="%1)"/>
      <w:lvlJc w:val="left"/>
      <w:pPr>
        <w:ind w:left="1418"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487181"/>
    <w:multiLevelType w:val="hybridMultilevel"/>
    <w:tmpl w:val="530669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0903DBB"/>
    <w:multiLevelType w:val="hybridMultilevel"/>
    <w:tmpl w:val="B48C0558"/>
    <w:lvl w:ilvl="0" w:tplc="474C8A0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17E19"/>
    <w:multiLevelType w:val="multilevel"/>
    <w:tmpl w:val="3C6A111E"/>
    <w:lvl w:ilvl="0">
      <w:start w:val="1"/>
      <w:numFmt w:val="decimal"/>
      <w:lvlText w:val="2.%1"/>
      <w:lvlJc w:val="left"/>
      <w:pPr>
        <w:ind w:left="720" w:hanging="36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4.%2"/>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C51103"/>
    <w:multiLevelType w:val="hybridMultilevel"/>
    <w:tmpl w:val="86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B6778"/>
    <w:multiLevelType w:val="hybridMultilevel"/>
    <w:tmpl w:val="6D48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823B2"/>
    <w:multiLevelType w:val="hybridMultilevel"/>
    <w:tmpl w:val="F39A0EFE"/>
    <w:lvl w:ilvl="0" w:tplc="EE04CC3E">
      <w:start w:val="1"/>
      <w:numFmt w:val="lowerLetter"/>
      <w:lvlText w:val="%1)"/>
      <w:lvlJc w:val="left"/>
      <w:pPr>
        <w:ind w:left="1287" w:hanging="567"/>
      </w:pPr>
      <w:rPr>
        <w:rFonts w:hint="default"/>
      </w:rPr>
    </w:lvl>
    <w:lvl w:ilvl="1" w:tplc="08090019" w:tentative="1">
      <w:start w:val="1"/>
      <w:numFmt w:val="lowerLetter"/>
      <w:lvlText w:val="%2."/>
      <w:lvlJc w:val="left"/>
      <w:pPr>
        <w:ind w:left="1440" w:hanging="360"/>
      </w:pPr>
    </w:lvl>
    <w:lvl w:ilvl="2" w:tplc="53A08CE6">
      <w:start w:val="1"/>
      <w:numFmt w:val="lowerLetter"/>
      <w:lvlText w:val="%3)"/>
      <w:lvlJc w:val="left"/>
      <w:pPr>
        <w:ind w:left="1247" w:hanging="368"/>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D040B2"/>
    <w:multiLevelType w:val="hybridMultilevel"/>
    <w:tmpl w:val="618EE968"/>
    <w:lvl w:ilvl="0" w:tplc="474C8A0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66EF8"/>
    <w:multiLevelType w:val="hybridMultilevel"/>
    <w:tmpl w:val="CE32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F642D"/>
    <w:multiLevelType w:val="hybridMultilevel"/>
    <w:tmpl w:val="97CA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E49FC"/>
    <w:multiLevelType w:val="hybridMultilevel"/>
    <w:tmpl w:val="19F8B538"/>
    <w:lvl w:ilvl="0" w:tplc="7FC8BE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B073D"/>
    <w:multiLevelType w:val="hybridMultilevel"/>
    <w:tmpl w:val="F7AC1040"/>
    <w:lvl w:ilvl="0" w:tplc="EE04CC3E">
      <w:start w:val="1"/>
      <w:numFmt w:val="lowerLetter"/>
      <w:lvlText w:val="%1)"/>
      <w:lvlJc w:val="left"/>
      <w:pPr>
        <w:ind w:left="128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C36A04"/>
    <w:multiLevelType w:val="hybridMultilevel"/>
    <w:tmpl w:val="F91678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58C2309"/>
    <w:multiLevelType w:val="multilevel"/>
    <w:tmpl w:val="C19AB6D4"/>
    <w:lvl w:ilvl="0">
      <w:start w:val="1"/>
      <w:numFmt w:val="decimal"/>
      <w:lvlText w:val="12.%1"/>
      <w:lvlJc w:val="left"/>
      <w:pPr>
        <w:ind w:left="720" w:hanging="72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1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1F2577"/>
    <w:multiLevelType w:val="hybridMultilevel"/>
    <w:tmpl w:val="E9841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817B25"/>
    <w:multiLevelType w:val="hybridMultilevel"/>
    <w:tmpl w:val="337C9A88"/>
    <w:lvl w:ilvl="0" w:tplc="DEE47244">
      <w:start w:val="1"/>
      <w:numFmt w:val="decimal"/>
      <w:lvlText w:val="1.%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3B0F01"/>
    <w:multiLevelType w:val="multilevel"/>
    <w:tmpl w:val="958A73EE"/>
    <w:lvl w:ilvl="0">
      <w:start w:val="1"/>
      <w:numFmt w:val="decimal"/>
      <w:lvlText w:val="2.%1"/>
      <w:lvlJc w:val="left"/>
      <w:pPr>
        <w:ind w:left="720" w:hanging="36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8D159FA"/>
    <w:multiLevelType w:val="hybridMultilevel"/>
    <w:tmpl w:val="26CE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A19E1"/>
    <w:multiLevelType w:val="multilevel"/>
    <w:tmpl w:val="95AA1536"/>
    <w:lvl w:ilvl="0">
      <w:start w:val="1"/>
      <w:numFmt w:val="decimal"/>
      <w:lvlText w:val="5.%1"/>
      <w:lvlJc w:val="left"/>
      <w:pPr>
        <w:ind w:left="720" w:hanging="360"/>
      </w:pPr>
      <w:rPr>
        <w:rFonts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lvlText w:val="2.%1"/>
      <w:lvlJc w:val="left"/>
      <w:pPr>
        <w:ind w:left="72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507AF8"/>
    <w:multiLevelType w:val="hybridMultilevel"/>
    <w:tmpl w:val="B706D58E"/>
    <w:lvl w:ilvl="0" w:tplc="F7948D58">
      <w:start w:val="1"/>
      <w:numFmt w:val="lowerLetter"/>
      <w:lvlText w:val="%1)"/>
      <w:lvlJc w:val="right"/>
      <w:pPr>
        <w:ind w:left="1418"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ED299C"/>
    <w:multiLevelType w:val="hybridMultilevel"/>
    <w:tmpl w:val="0F3C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1"/>
  </w:num>
  <w:num w:numId="4">
    <w:abstractNumId w:val="3"/>
  </w:num>
  <w:num w:numId="5">
    <w:abstractNumId w:val="29"/>
  </w:num>
  <w:num w:numId="6">
    <w:abstractNumId w:val="8"/>
  </w:num>
  <w:num w:numId="7">
    <w:abstractNumId w:val="17"/>
  </w:num>
  <w:num w:numId="8">
    <w:abstractNumId w:val="14"/>
  </w:num>
  <w:num w:numId="9">
    <w:abstractNumId w:val="18"/>
  </w:num>
  <w:num w:numId="10">
    <w:abstractNumId w:val="13"/>
  </w:num>
  <w:num w:numId="11">
    <w:abstractNumId w:val="26"/>
  </w:num>
  <w:num w:numId="12">
    <w:abstractNumId w:val="27"/>
  </w:num>
  <w:num w:numId="13">
    <w:abstractNumId w:val="1"/>
  </w:num>
  <w:num w:numId="14">
    <w:abstractNumId w:val="23"/>
  </w:num>
  <w:num w:numId="15">
    <w:abstractNumId w:val="19"/>
  </w:num>
  <w:num w:numId="16">
    <w:abstractNumId w:val="6"/>
  </w:num>
  <w:num w:numId="17">
    <w:abstractNumId w:val="11"/>
  </w:num>
  <w:num w:numId="18">
    <w:abstractNumId w:val="4"/>
  </w:num>
  <w:num w:numId="19">
    <w:abstractNumId w:val="5"/>
  </w:num>
  <w:num w:numId="20">
    <w:abstractNumId w:val="7"/>
  </w:num>
  <w:num w:numId="21">
    <w:abstractNumId w:val="22"/>
  </w:num>
  <w:num w:numId="22">
    <w:abstractNumId w:val="25"/>
  </w:num>
  <w:num w:numId="23">
    <w:abstractNumId w:val="20"/>
  </w:num>
  <w:num w:numId="24">
    <w:abstractNumId w:val="15"/>
  </w:num>
  <w:num w:numId="25">
    <w:abstractNumId w:val="24"/>
  </w:num>
  <w:num w:numId="26">
    <w:abstractNumId w:val="16"/>
  </w:num>
  <w:num w:numId="27">
    <w:abstractNumId w:val="0"/>
  </w:num>
  <w:num w:numId="28">
    <w:abstractNumId w:val="28"/>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71"/>
    <w:rsid w:val="000025EF"/>
    <w:rsid w:val="000028F1"/>
    <w:rsid w:val="00002E0F"/>
    <w:rsid w:val="00002EF0"/>
    <w:rsid w:val="00006B94"/>
    <w:rsid w:val="000071B2"/>
    <w:rsid w:val="00007F5C"/>
    <w:rsid w:val="00012633"/>
    <w:rsid w:val="00012C2E"/>
    <w:rsid w:val="00016F6F"/>
    <w:rsid w:val="0002040C"/>
    <w:rsid w:val="0002610E"/>
    <w:rsid w:val="0003184C"/>
    <w:rsid w:val="00040B51"/>
    <w:rsid w:val="00041B9A"/>
    <w:rsid w:val="000436B8"/>
    <w:rsid w:val="00045D8E"/>
    <w:rsid w:val="000476E2"/>
    <w:rsid w:val="00051476"/>
    <w:rsid w:val="00052558"/>
    <w:rsid w:val="0005288D"/>
    <w:rsid w:val="00052915"/>
    <w:rsid w:val="00054F67"/>
    <w:rsid w:val="00055CB1"/>
    <w:rsid w:val="00056D40"/>
    <w:rsid w:val="0006202F"/>
    <w:rsid w:val="00065ADF"/>
    <w:rsid w:val="0007337A"/>
    <w:rsid w:val="000739C9"/>
    <w:rsid w:val="00083187"/>
    <w:rsid w:val="00092168"/>
    <w:rsid w:val="0009236A"/>
    <w:rsid w:val="00092D09"/>
    <w:rsid w:val="00093617"/>
    <w:rsid w:val="00095544"/>
    <w:rsid w:val="00096371"/>
    <w:rsid w:val="000978FE"/>
    <w:rsid w:val="00097ED6"/>
    <w:rsid w:val="000A345C"/>
    <w:rsid w:val="000A4588"/>
    <w:rsid w:val="000A4D03"/>
    <w:rsid w:val="000B287A"/>
    <w:rsid w:val="000B5AA7"/>
    <w:rsid w:val="000B61BF"/>
    <w:rsid w:val="000C2840"/>
    <w:rsid w:val="000C4736"/>
    <w:rsid w:val="000D1AEB"/>
    <w:rsid w:val="000D4195"/>
    <w:rsid w:val="000E06F7"/>
    <w:rsid w:val="000E153C"/>
    <w:rsid w:val="000E176D"/>
    <w:rsid w:val="000E294E"/>
    <w:rsid w:val="001042BE"/>
    <w:rsid w:val="001043F4"/>
    <w:rsid w:val="001132D2"/>
    <w:rsid w:val="00113A8F"/>
    <w:rsid w:val="00117243"/>
    <w:rsid w:val="00120EB8"/>
    <w:rsid w:val="0012238F"/>
    <w:rsid w:val="0012505C"/>
    <w:rsid w:val="00127C57"/>
    <w:rsid w:val="00130B5E"/>
    <w:rsid w:val="00135C26"/>
    <w:rsid w:val="00142CF4"/>
    <w:rsid w:val="001432A1"/>
    <w:rsid w:val="001440EA"/>
    <w:rsid w:val="0014775F"/>
    <w:rsid w:val="00151ABF"/>
    <w:rsid w:val="00153069"/>
    <w:rsid w:val="001602EE"/>
    <w:rsid w:val="001654F4"/>
    <w:rsid w:val="00165FD6"/>
    <w:rsid w:val="001700C5"/>
    <w:rsid w:val="00172CBB"/>
    <w:rsid w:val="00176154"/>
    <w:rsid w:val="00177B5A"/>
    <w:rsid w:val="001806A9"/>
    <w:rsid w:val="001814CF"/>
    <w:rsid w:val="001817D2"/>
    <w:rsid w:val="00182FB9"/>
    <w:rsid w:val="00184E43"/>
    <w:rsid w:val="00186E68"/>
    <w:rsid w:val="00190F41"/>
    <w:rsid w:val="001A5EFA"/>
    <w:rsid w:val="001A6771"/>
    <w:rsid w:val="001B1D8F"/>
    <w:rsid w:val="001B3769"/>
    <w:rsid w:val="001B7B18"/>
    <w:rsid w:val="001C0AF2"/>
    <w:rsid w:val="001C3293"/>
    <w:rsid w:val="001C5421"/>
    <w:rsid w:val="001C5D55"/>
    <w:rsid w:val="001C6B7E"/>
    <w:rsid w:val="001D117A"/>
    <w:rsid w:val="001D2E03"/>
    <w:rsid w:val="001E00CF"/>
    <w:rsid w:val="001F1FDD"/>
    <w:rsid w:val="001F49AC"/>
    <w:rsid w:val="001F62A3"/>
    <w:rsid w:val="00206706"/>
    <w:rsid w:val="002126C2"/>
    <w:rsid w:val="002171E7"/>
    <w:rsid w:val="00220D47"/>
    <w:rsid w:val="00220F59"/>
    <w:rsid w:val="0022124F"/>
    <w:rsid w:val="0022193D"/>
    <w:rsid w:val="00223C95"/>
    <w:rsid w:val="0022694E"/>
    <w:rsid w:val="00226B5C"/>
    <w:rsid w:val="002306F6"/>
    <w:rsid w:val="00235EA3"/>
    <w:rsid w:val="002377BC"/>
    <w:rsid w:val="00240C02"/>
    <w:rsid w:val="002417C9"/>
    <w:rsid w:val="00241E72"/>
    <w:rsid w:val="00243C16"/>
    <w:rsid w:val="002443AB"/>
    <w:rsid w:val="00244FE2"/>
    <w:rsid w:val="00253102"/>
    <w:rsid w:val="0025397E"/>
    <w:rsid w:val="002540B9"/>
    <w:rsid w:val="00260060"/>
    <w:rsid w:val="002602F3"/>
    <w:rsid w:val="00263AB8"/>
    <w:rsid w:val="00267403"/>
    <w:rsid w:val="002748C5"/>
    <w:rsid w:val="00275EC9"/>
    <w:rsid w:val="00277F6B"/>
    <w:rsid w:val="00280527"/>
    <w:rsid w:val="00287D4C"/>
    <w:rsid w:val="00291B7C"/>
    <w:rsid w:val="002935C1"/>
    <w:rsid w:val="002A00D8"/>
    <w:rsid w:val="002A325F"/>
    <w:rsid w:val="002A376A"/>
    <w:rsid w:val="002A3EDB"/>
    <w:rsid w:val="002A531F"/>
    <w:rsid w:val="002A76F8"/>
    <w:rsid w:val="002B72D8"/>
    <w:rsid w:val="002B78A3"/>
    <w:rsid w:val="002C00B2"/>
    <w:rsid w:val="002C3393"/>
    <w:rsid w:val="002C4101"/>
    <w:rsid w:val="002D32D0"/>
    <w:rsid w:val="002E08D6"/>
    <w:rsid w:val="002E676C"/>
    <w:rsid w:val="002F2CC4"/>
    <w:rsid w:val="002F465A"/>
    <w:rsid w:val="002F7348"/>
    <w:rsid w:val="0030023F"/>
    <w:rsid w:val="00306801"/>
    <w:rsid w:val="0031061C"/>
    <w:rsid w:val="003117FB"/>
    <w:rsid w:val="00317376"/>
    <w:rsid w:val="003173DE"/>
    <w:rsid w:val="0032710F"/>
    <w:rsid w:val="003422B6"/>
    <w:rsid w:val="0034257A"/>
    <w:rsid w:val="003438BD"/>
    <w:rsid w:val="0035079E"/>
    <w:rsid w:val="00350E6F"/>
    <w:rsid w:val="0035717A"/>
    <w:rsid w:val="00363B5A"/>
    <w:rsid w:val="00366206"/>
    <w:rsid w:val="003674D9"/>
    <w:rsid w:val="00385742"/>
    <w:rsid w:val="00385B29"/>
    <w:rsid w:val="0038777B"/>
    <w:rsid w:val="003934AE"/>
    <w:rsid w:val="0039493F"/>
    <w:rsid w:val="00395B09"/>
    <w:rsid w:val="0039623B"/>
    <w:rsid w:val="00396D71"/>
    <w:rsid w:val="003A018D"/>
    <w:rsid w:val="003A0394"/>
    <w:rsid w:val="003A03E2"/>
    <w:rsid w:val="003A0FD2"/>
    <w:rsid w:val="003A5016"/>
    <w:rsid w:val="003B02E5"/>
    <w:rsid w:val="003B045F"/>
    <w:rsid w:val="003B0B24"/>
    <w:rsid w:val="003B28E4"/>
    <w:rsid w:val="003B2976"/>
    <w:rsid w:val="003B594E"/>
    <w:rsid w:val="003B798B"/>
    <w:rsid w:val="003C2876"/>
    <w:rsid w:val="003C7650"/>
    <w:rsid w:val="003D019E"/>
    <w:rsid w:val="003E09AE"/>
    <w:rsid w:val="003E42F4"/>
    <w:rsid w:val="003E7551"/>
    <w:rsid w:val="003E777F"/>
    <w:rsid w:val="003F0603"/>
    <w:rsid w:val="003F254C"/>
    <w:rsid w:val="003F2B4F"/>
    <w:rsid w:val="003F5E1E"/>
    <w:rsid w:val="003F7515"/>
    <w:rsid w:val="003F7C72"/>
    <w:rsid w:val="004002F8"/>
    <w:rsid w:val="00404281"/>
    <w:rsid w:val="00411D2D"/>
    <w:rsid w:val="00413EBD"/>
    <w:rsid w:val="004153EA"/>
    <w:rsid w:val="00424ACC"/>
    <w:rsid w:val="00431F2A"/>
    <w:rsid w:val="004325FE"/>
    <w:rsid w:val="00436B82"/>
    <w:rsid w:val="00440673"/>
    <w:rsid w:val="00441FCA"/>
    <w:rsid w:val="00443EA6"/>
    <w:rsid w:val="00444990"/>
    <w:rsid w:val="00444E1F"/>
    <w:rsid w:val="00445F5C"/>
    <w:rsid w:val="0044658F"/>
    <w:rsid w:val="0045033B"/>
    <w:rsid w:val="004524FC"/>
    <w:rsid w:val="004541C2"/>
    <w:rsid w:val="0045444D"/>
    <w:rsid w:val="00456CC5"/>
    <w:rsid w:val="004577FB"/>
    <w:rsid w:val="00457E64"/>
    <w:rsid w:val="00472DBC"/>
    <w:rsid w:val="00476117"/>
    <w:rsid w:val="00483CE6"/>
    <w:rsid w:val="00487B18"/>
    <w:rsid w:val="00487B45"/>
    <w:rsid w:val="0049322C"/>
    <w:rsid w:val="0049465B"/>
    <w:rsid w:val="00495A0C"/>
    <w:rsid w:val="00495C05"/>
    <w:rsid w:val="00496902"/>
    <w:rsid w:val="004A3A60"/>
    <w:rsid w:val="004A3DE2"/>
    <w:rsid w:val="004A4BA6"/>
    <w:rsid w:val="004A6A85"/>
    <w:rsid w:val="004B17BA"/>
    <w:rsid w:val="004B183B"/>
    <w:rsid w:val="004B65A1"/>
    <w:rsid w:val="004B6B27"/>
    <w:rsid w:val="004B7A05"/>
    <w:rsid w:val="004C74AC"/>
    <w:rsid w:val="004D00EF"/>
    <w:rsid w:val="004D46E2"/>
    <w:rsid w:val="004E1650"/>
    <w:rsid w:val="004E4D60"/>
    <w:rsid w:val="004E53C3"/>
    <w:rsid w:val="004E68CB"/>
    <w:rsid w:val="004E6D9A"/>
    <w:rsid w:val="004E7DD2"/>
    <w:rsid w:val="004F463F"/>
    <w:rsid w:val="004F55F5"/>
    <w:rsid w:val="004F7275"/>
    <w:rsid w:val="0050022D"/>
    <w:rsid w:val="00504E12"/>
    <w:rsid w:val="00505957"/>
    <w:rsid w:val="0050750A"/>
    <w:rsid w:val="0051078D"/>
    <w:rsid w:val="00515D58"/>
    <w:rsid w:val="00520EF9"/>
    <w:rsid w:val="00523DA2"/>
    <w:rsid w:val="005303FE"/>
    <w:rsid w:val="00531CF2"/>
    <w:rsid w:val="00533524"/>
    <w:rsid w:val="00533BFC"/>
    <w:rsid w:val="005357C0"/>
    <w:rsid w:val="00535DD6"/>
    <w:rsid w:val="00536115"/>
    <w:rsid w:val="0054058B"/>
    <w:rsid w:val="005446D8"/>
    <w:rsid w:val="00545159"/>
    <w:rsid w:val="005475DF"/>
    <w:rsid w:val="00552E59"/>
    <w:rsid w:val="00561000"/>
    <w:rsid w:val="00562163"/>
    <w:rsid w:val="00562E9F"/>
    <w:rsid w:val="0056582D"/>
    <w:rsid w:val="00573D45"/>
    <w:rsid w:val="00573FA3"/>
    <w:rsid w:val="00574EF7"/>
    <w:rsid w:val="00580B8C"/>
    <w:rsid w:val="00584747"/>
    <w:rsid w:val="005864F3"/>
    <w:rsid w:val="005A1AFF"/>
    <w:rsid w:val="005B0D1A"/>
    <w:rsid w:val="005B22BC"/>
    <w:rsid w:val="005C1D0C"/>
    <w:rsid w:val="005C748E"/>
    <w:rsid w:val="005D0B6F"/>
    <w:rsid w:val="005D2319"/>
    <w:rsid w:val="005D6496"/>
    <w:rsid w:val="005E51A5"/>
    <w:rsid w:val="005E7107"/>
    <w:rsid w:val="005E770A"/>
    <w:rsid w:val="005F5580"/>
    <w:rsid w:val="005F6D58"/>
    <w:rsid w:val="006005CC"/>
    <w:rsid w:val="0060087A"/>
    <w:rsid w:val="00600EED"/>
    <w:rsid w:val="00602F50"/>
    <w:rsid w:val="00611444"/>
    <w:rsid w:val="00617BB2"/>
    <w:rsid w:val="00621342"/>
    <w:rsid w:val="006221C3"/>
    <w:rsid w:val="00624B1D"/>
    <w:rsid w:val="00624D71"/>
    <w:rsid w:val="00626A26"/>
    <w:rsid w:val="00632E5F"/>
    <w:rsid w:val="00635EAD"/>
    <w:rsid w:val="00642076"/>
    <w:rsid w:val="0064545B"/>
    <w:rsid w:val="00645ACB"/>
    <w:rsid w:val="006468CF"/>
    <w:rsid w:val="006474D4"/>
    <w:rsid w:val="00654815"/>
    <w:rsid w:val="00654A9C"/>
    <w:rsid w:val="00654CA9"/>
    <w:rsid w:val="00654D2B"/>
    <w:rsid w:val="00664DEA"/>
    <w:rsid w:val="0067139D"/>
    <w:rsid w:val="006732D2"/>
    <w:rsid w:val="0067377D"/>
    <w:rsid w:val="00682948"/>
    <w:rsid w:val="00687352"/>
    <w:rsid w:val="00694609"/>
    <w:rsid w:val="00695670"/>
    <w:rsid w:val="006A2A88"/>
    <w:rsid w:val="006A59B0"/>
    <w:rsid w:val="006B0144"/>
    <w:rsid w:val="006B365D"/>
    <w:rsid w:val="006B637E"/>
    <w:rsid w:val="006C3BD6"/>
    <w:rsid w:val="006C4805"/>
    <w:rsid w:val="006C4BE0"/>
    <w:rsid w:val="006C6CE5"/>
    <w:rsid w:val="006C79B3"/>
    <w:rsid w:val="006D12EF"/>
    <w:rsid w:val="006D2BBA"/>
    <w:rsid w:val="006D3C7A"/>
    <w:rsid w:val="006D575D"/>
    <w:rsid w:val="006D6067"/>
    <w:rsid w:val="006E6311"/>
    <w:rsid w:val="006F043D"/>
    <w:rsid w:val="006F0893"/>
    <w:rsid w:val="006F0FC5"/>
    <w:rsid w:val="006F6AE4"/>
    <w:rsid w:val="00706767"/>
    <w:rsid w:val="0070712D"/>
    <w:rsid w:val="00711DB1"/>
    <w:rsid w:val="00714ACE"/>
    <w:rsid w:val="00715B14"/>
    <w:rsid w:val="0072037C"/>
    <w:rsid w:val="0072213D"/>
    <w:rsid w:val="00727D50"/>
    <w:rsid w:val="0073084F"/>
    <w:rsid w:val="00731AE2"/>
    <w:rsid w:val="007376C9"/>
    <w:rsid w:val="00737C6A"/>
    <w:rsid w:val="00741876"/>
    <w:rsid w:val="007430EE"/>
    <w:rsid w:val="0074421E"/>
    <w:rsid w:val="00745178"/>
    <w:rsid w:val="00746425"/>
    <w:rsid w:val="00747428"/>
    <w:rsid w:val="0075458F"/>
    <w:rsid w:val="007549A3"/>
    <w:rsid w:val="007578B1"/>
    <w:rsid w:val="00771E06"/>
    <w:rsid w:val="00771F57"/>
    <w:rsid w:val="007762EA"/>
    <w:rsid w:val="007772F8"/>
    <w:rsid w:val="0077735B"/>
    <w:rsid w:val="0078035F"/>
    <w:rsid w:val="007809E3"/>
    <w:rsid w:val="00780A7F"/>
    <w:rsid w:val="0078755C"/>
    <w:rsid w:val="00792E6D"/>
    <w:rsid w:val="007940E0"/>
    <w:rsid w:val="0079440E"/>
    <w:rsid w:val="00795610"/>
    <w:rsid w:val="007A30B8"/>
    <w:rsid w:val="007A5E76"/>
    <w:rsid w:val="007B1A97"/>
    <w:rsid w:val="007B27F7"/>
    <w:rsid w:val="007C255F"/>
    <w:rsid w:val="007C2707"/>
    <w:rsid w:val="007C5DC3"/>
    <w:rsid w:val="007C704F"/>
    <w:rsid w:val="007C738E"/>
    <w:rsid w:val="007D215B"/>
    <w:rsid w:val="007E1E38"/>
    <w:rsid w:val="007E2069"/>
    <w:rsid w:val="007F2021"/>
    <w:rsid w:val="007F621E"/>
    <w:rsid w:val="007F7EC8"/>
    <w:rsid w:val="0080089F"/>
    <w:rsid w:val="008014D1"/>
    <w:rsid w:val="00803206"/>
    <w:rsid w:val="00804CC2"/>
    <w:rsid w:val="00805046"/>
    <w:rsid w:val="008067F1"/>
    <w:rsid w:val="00812943"/>
    <w:rsid w:val="00820AD0"/>
    <w:rsid w:val="00824D92"/>
    <w:rsid w:val="00827A04"/>
    <w:rsid w:val="00830BD5"/>
    <w:rsid w:val="00831A30"/>
    <w:rsid w:val="0083252A"/>
    <w:rsid w:val="008345B8"/>
    <w:rsid w:val="00834CF3"/>
    <w:rsid w:val="008439F4"/>
    <w:rsid w:val="008465CB"/>
    <w:rsid w:val="00851632"/>
    <w:rsid w:val="00852C14"/>
    <w:rsid w:val="00853BD8"/>
    <w:rsid w:val="0085500B"/>
    <w:rsid w:val="00855617"/>
    <w:rsid w:val="00861FD0"/>
    <w:rsid w:val="0086366B"/>
    <w:rsid w:val="008678F9"/>
    <w:rsid w:val="0087163A"/>
    <w:rsid w:val="008765C7"/>
    <w:rsid w:val="00876685"/>
    <w:rsid w:val="008944CD"/>
    <w:rsid w:val="008A2766"/>
    <w:rsid w:val="008A4F19"/>
    <w:rsid w:val="008A548B"/>
    <w:rsid w:val="008A5DFA"/>
    <w:rsid w:val="008A620E"/>
    <w:rsid w:val="008A6BDE"/>
    <w:rsid w:val="008A7227"/>
    <w:rsid w:val="008A7EA6"/>
    <w:rsid w:val="008B0D55"/>
    <w:rsid w:val="008B1D6E"/>
    <w:rsid w:val="008B1FD2"/>
    <w:rsid w:val="008C542D"/>
    <w:rsid w:val="008D238A"/>
    <w:rsid w:val="008D40F0"/>
    <w:rsid w:val="008D7054"/>
    <w:rsid w:val="008E65E3"/>
    <w:rsid w:val="008F02A6"/>
    <w:rsid w:val="008F79EC"/>
    <w:rsid w:val="008F7DAA"/>
    <w:rsid w:val="00900470"/>
    <w:rsid w:val="00904A0B"/>
    <w:rsid w:val="00905D4C"/>
    <w:rsid w:val="00910883"/>
    <w:rsid w:val="00911564"/>
    <w:rsid w:val="009124B0"/>
    <w:rsid w:val="00922285"/>
    <w:rsid w:val="00922647"/>
    <w:rsid w:val="00922EA2"/>
    <w:rsid w:val="00922F4C"/>
    <w:rsid w:val="00923F9D"/>
    <w:rsid w:val="00926D49"/>
    <w:rsid w:val="00927E9A"/>
    <w:rsid w:val="009302B4"/>
    <w:rsid w:val="00930BDE"/>
    <w:rsid w:val="00930E85"/>
    <w:rsid w:val="00936080"/>
    <w:rsid w:val="00936BD4"/>
    <w:rsid w:val="00936BEE"/>
    <w:rsid w:val="00937422"/>
    <w:rsid w:val="00942370"/>
    <w:rsid w:val="00942544"/>
    <w:rsid w:val="009451D9"/>
    <w:rsid w:val="0095264E"/>
    <w:rsid w:val="00952B66"/>
    <w:rsid w:val="00953B01"/>
    <w:rsid w:val="00954986"/>
    <w:rsid w:val="009554B1"/>
    <w:rsid w:val="00960E55"/>
    <w:rsid w:val="009703C4"/>
    <w:rsid w:val="00973A4B"/>
    <w:rsid w:val="0097430C"/>
    <w:rsid w:val="00974989"/>
    <w:rsid w:val="00975C40"/>
    <w:rsid w:val="009773AD"/>
    <w:rsid w:val="00977E5F"/>
    <w:rsid w:val="00982C78"/>
    <w:rsid w:val="00985F03"/>
    <w:rsid w:val="0098681D"/>
    <w:rsid w:val="0098690C"/>
    <w:rsid w:val="009869B9"/>
    <w:rsid w:val="0099015B"/>
    <w:rsid w:val="009924E3"/>
    <w:rsid w:val="009929FC"/>
    <w:rsid w:val="00992E1B"/>
    <w:rsid w:val="009A1833"/>
    <w:rsid w:val="009A244F"/>
    <w:rsid w:val="009A3C5E"/>
    <w:rsid w:val="009A3CAC"/>
    <w:rsid w:val="009A5069"/>
    <w:rsid w:val="009A638F"/>
    <w:rsid w:val="009A66E7"/>
    <w:rsid w:val="009B147A"/>
    <w:rsid w:val="009C1D6F"/>
    <w:rsid w:val="009C7B6E"/>
    <w:rsid w:val="009D0863"/>
    <w:rsid w:val="009D0BE5"/>
    <w:rsid w:val="009D59F0"/>
    <w:rsid w:val="009D5AA5"/>
    <w:rsid w:val="009E081C"/>
    <w:rsid w:val="009E76C3"/>
    <w:rsid w:val="009F6494"/>
    <w:rsid w:val="00A01904"/>
    <w:rsid w:val="00A024AC"/>
    <w:rsid w:val="00A04D3C"/>
    <w:rsid w:val="00A05915"/>
    <w:rsid w:val="00A05EB5"/>
    <w:rsid w:val="00A11A7B"/>
    <w:rsid w:val="00A15D48"/>
    <w:rsid w:val="00A20CE8"/>
    <w:rsid w:val="00A23DB9"/>
    <w:rsid w:val="00A30DD0"/>
    <w:rsid w:val="00A4007C"/>
    <w:rsid w:val="00A41288"/>
    <w:rsid w:val="00A42075"/>
    <w:rsid w:val="00A43DB4"/>
    <w:rsid w:val="00A46EC9"/>
    <w:rsid w:val="00A47A6E"/>
    <w:rsid w:val="00A50396"/>
    <w:rsid w:val="00A52F39"/>
    <w:rsid w:val="00A55D19"/>
    <w:rsid w:val="00A569D6"/>
    <w:rsid w:val="00A607B0"/>
    <w:rsid w:val="00A61987"/>
    <w:rsid w:val="00A64F21"/>
    <w:rsid w:val="00A67591"/>
    <w:rsid w:val="00A67DD7"/>
    <w:rsid w:val="00A70807"/>
    <w:rsid w:val="00A710F0"/>
    <w:rsid w:val="00A72C98"/>
    <w:rsid w:val="00A8114C"/>
    <w:rsid w:val="00A82E0F"/>
    <w:rsid w:val="00A9358C"/>
    <w:rsid w:val="00A9783B"/>
    <w:rsid w:val="00AA086E"/>
    <w:rsid w:val="00AA0A48"/>
    <w:rsid w:val="00AA6A89"/>
    <w:rsid w:val="00AA76D1"/>
    <w:rsid w:val="00AB0E27"/>
    <w:rsid w:val="00AB22FE"/>
    <w:rsid w:val="00AB319C"/>
    <w:rsid w:val="00AB3A2B"/>
    <w:rsid w:val="00AB7E02"/>
    <w:rsid w:val="00AC2102"/>
    <w:rsid w:val="00AC211F"/>
    <w:rsid w:val="00AC2E9C"/>
    <w:rsid w:val="00AC37C4"/>
    <w:rsid w:val="00AC408F"/>
    <w:rsid w:val="00AE02D0"/>
    <w:rsid w:val="00AE1F9D"/>
    <w:rsid w:val="00AE25D8"/>
    <w:rsid w:val="00AE6ACD"/>
    <w:rsid w:val="00AE6CAF"/>
    <w:rsid w:val="00AF09F0"/>
    <w:rsid w:val="00AF0CC8"/>
    <w:rsid w:val="00AF2451"/>
    <w:rsid w:val="00AF2DDE"/>
    <w:rsid w:val="00AF444C"/>
    <w:rsid w:val="00AF7E56"/>
    <w:rsid w:val="00B058A9"/>
    <w:rsid w:val="00B058D7"/>
    <w:rsid w:val="00B1256F"/>
    <w:rsid w:val="00B1766D"/>
    <w:rsid w:val="00B21855"/>
    <w:rsid w:val="00B236DC"/>
    <w:rsid w:val="00B24C92"/>
    <w:rsid w:val="00B305E9"/>
    <w:rsid w:val="00B35753"/>
    <w:rsid w:val="00B43608"/>
    <w:rsid w:val="00B43636"/>
    <w:rsid w:val="00B43B04"/>
    <w:rsid w:val="00B5272F"/>
    <w:rsid w:val="00B54A38"/>
    <w:rsid w:val="00B55467"/>
    <w:rsid w:val="00B570D3"/>
    <w:rsid w:val="00B66DE3"/>
    <w:rsid w:val="00B708CD"/>
    <w:rsid w:val="00B73523"/>
    <w:rsid w:val="00B75514"/>
    <w:rsid w:val="00B75B29"/>
    <w:rsid w:val="00B775C2"/>
    <w:rsid w:val="00B830EA"/>
    <w:rsid w:val="00B83A21"/>
    <w:rsid w:val="00B90362"/>
    <w:rsid w:val="00B92281"/>
    <w:rsid w:val="00B947E4"/>
    <w:rsid w:val="00BA37DB"/>
    <w:rsid w:val="00BA79D6"/>
    <w:rsid w:val="00BA7A62"/>
    <w:rsid w:val="00BB023D"/>
    <w:rsid w:val="00BB076D"/>
    <w:rsid w:val="00BB0C10"/>
    <w:rsid w:val="00BB3A01"/>
    <w:rsid w:val="00BB5315"/>
    <w:rsid w:val="00BB7BFB"/>
    <w:rsid w:val="00BC01EC"/>
    <w:rsid w:val="00BC115C"/>
    <w:rsid w:val="00BC15D8"/>
    <w:rsid w:val="00BD2444"/>
    <w:rsid w:val="00BD500A"/>
    <w:rsid w:val="00BE0243"/>
    <w:rsid w:val="00BE3035"/>
    <w:rsid w:val="00BE4231"/>
    <w:rsid w:val="00BE4C16"/>
    <w:rsid w:val="00BF1736"/>
    <w:rsid w:val="00BF5020"/>
    <w:rsid w:val="00BF517C"/>
    <w:rsid w:val="00BF531E"/>
    <w:rsid w:val="00BF7075"/>
    <w:rsid w:val="00BF725F"/>
    <w:rsid w:val="00C01540"/>
    <w:rsid w:val="00C01D2B"/>
    <w:rsid w:val="00C035DD"/>
    <w:rsid w:val="00C11BB2"/>
    <w:rsid w:val="00C139A7"/>
    <w:rsid w:val="00C145B1"/>
    <w:rsid w:val="00C20C3F"/>
    <w:rsid w:val="00C21093"/>
    <w:rsid w:val="00C2127D"/>
    <w:rsid w:val="00C23056"/>
    <w:rsid w:val="00C24AFD"/>
    <w:rsid w:val="00C27B90"/>
    <w:rsid w:val="00C30F6A"/>
    <w:rsid w:val="00C32195"/>
    <w:rsid w:val="00C34E7D"/>
    <w:rsid w:val="00C35438"/>
    <w:rsid w:val="00C3597C"/>
    <w:rsid w:val="00C40E73"/>
    <w:rsid w:val="00C410D3"/>
    <w:rsid w:val="00C471F1"/>
    <w:rsid w:val="00C504E3"/>
    <w:rsid w:val="00C544B6"/>
    <w:rsid w:val="00C546BA"/>
    <w:rsid w:val="00C553C4"/>
    <w:rsid w:val="00C62DA6"/>
    <w:rsid w:val="00C80158"/>
    <w:rsid w:val="00C82C9E"/>
    <w:rsid w:val="00C845D1"/>
    <w:rsid w:val="00C90F03"/>
    <w:rsid w:val="00C97147"/>
    <w:rsid w:val="00C9780A"/>
    <w:rsid w:val="00CA34BF"/>
    <w:rsid w:val="00CA3C19"/>
    <w:rsid w:val="00CA55EF"/>
    <w:rsid w:val="00CB46C4"/>
    <w:rsid w:val="00CB6DD0"/>
    <w:rsid w:val="00CC1D5F"/>
    <w:rsid w:val="00CC7E6E"/>
    <w:rsid w:val="00CD01FA"/>
    <w:rsid w:val="00CD166A"/>
    <w:rsid w:val="00CD1B82"/>
    <w:rsid w:val="00CD1F3D"/>
    <w:rsid w:val="00CD6281"/>
    <w:rsid w:val="00CE0225"/>
    <w:rsid w:val="00CE2C1B"/>
    <w:rsid w:val="00CE5683"/>
    <w:rsid w:val="00CE600D"/>
    <w:rsid w:val="00CF28BE"/>
    <w:rsid w:val="00CF2A45"/>
    <w:rsid w:val="00CF49A6"/>
    <w:rsid w:val="00CF4C98"/>
    <w:rsid w:val="00CF557E"/>
    <w:rsid w:val="00CF569D"/>
    <w:rsid w:val="00CF6D26"/>
    <w:rsid w:val="00D0162D"/>
    <w:rsid w:val="00D0512E"/>
    <w:rsid w:val="00D05944"/>
    <w:rsid w:val="00D10C72"/>
    <w:rsid w:val="00D13206"/>
    <w:rsid w:val="00D16F72"/>
    <w:rsid w:val="00D206CF"/>
    <w:rsid w:val="00D21856"/>
    <w:rsid w:val="00D22CB4"/>
    <w:rsid w:val="00D400CC"/>
    <w:rsid w:val="00D52666"/>
    <w:rsid w:val="00D642AF"/>
    <w:rsid w:val="00D65197"/>
    <w:rsid w:val="00D65949"/>
    <w:rsid w:val="00D715C1"/>
    <w:rsid w:val="00D72D65"/>
    <w:rsid w:val="00D73B4D"/>
    <w:rsid w:val="00D74D1B"/>
    <w:rsid w:val="00D763D0"/>
    <w:rsid w:val="00D7706E"/>
    <w:rsid w:val="00D82073"/>
    <w:rsid w:val="00D84C5A"/>
    <w:rsid w:val="00D92014"/>
    <w:rsid w:val="00D932CF"/>
    <w:rsid w:val="00DA2CA8"/>
    <w:rsid w:val="00DA54F1"/>
    <w:rsid w:val="00DA7A08"/>
    <w:rsid w:val="00DC340A"/>
    <w:rsid w:val="00DD1B14"/>
    <w:rsid w:val="00DD3509"/>
    <w:rsid w:val="00DE2EAD"/>
    <w:rsid w:val="00DE5ADC"/>
    <w:rsid w:val="00DF0A66"/>
    <w:rsid w:val="00DF2188"/>
    <w:rsid w:val="00DF3F1B"/>
    <w:rsid w:val="00E003F3"/>
    <w:rsid w:val="00E03007"/>
    <w:rsid w:val="00E062ED"/>
    <w:rsid w:val="00E11B70"/>
    <w:rsid w:val="00E14F80"/>
    <w:rsid w:val="00E174B9"/>
    <w:rsid w:val="00E178CD"/>
    <w:rsid w:val="00E22087"/>
    <w:rsid w:val="00E239B4"/>
    <w:rsid w:val="00E26289"/>
    <w:rsid w:val="00E26706"/>
    <w:rsid w:val="00E3096A"/>
    <w:rsid w:val="00E33060"/>
    <w:rsid w:val="00E377A5"/>
    <w:rsid w:val="00E43CD0"/>
    <w:rsid w:val="00E458B4"/>
    <w:rsid w:val="00E45AC6"/>
    <w:rsid w:val="00E50BCE"/>
    <w:rsid w:val="00E60D3B"/>
    <w:rsid w:val="00E64D9A"/>
    <w:rsid w:val="00E6564F"/>
    <w:rsid w:val="00E712F6"/>
    <w:rsid w:val="00E73691"/>
    <w:rsid w:val="00E77860"/>
    <w:rsid w:val="00E862B2"/>
    <w:rsid w:val="00E87F6A"/>
    <w:rsid w:val="00E91815"/>
    <w:rsid w:val="00E95DCA"/>
    <w:rsid w:val="00E96207"/>
    <w:rsid w:val="00EA2249"/>
    <w:rsid w:val="00EA4968"/>
    <w:rsid w:val="00EA5734"/>
    <w:rsid w:val="00EB4957"/>
    <w:rsid w:val="00EB4990"/>
    <w:rsid w:val="00EB7F84"/>
    <w:rsid w:val="00EC1B59"/>
    <w:rsid w:val="00EC2E6F"/>
    <w:rsid w:val="00ED0C4E"/>
    <w:rsid w:val="00ED763E"/>
    <w:rsid w:val="00EE04EB"/>
    <w:rsid w:val="00EE2DF0"/>
    <w:rsid w:val="00EE3C27"/>
    <w:rsid w:val="00EE59B5"/>
    <w:rsid w:val="00EF3EFF"/>
    <w:rsid w:val="00EF4CDB"/>
    <w:rsid w:val="00EF77DC"/>
    <w:rsid w:val="00F038F0"/>
    <w:rsid w:val="00F11FC6"/>
    <w:rsid w:val="00F13970"/>
    <w:rsid w:val="00F17624"/>
    <w:rsid w:val="00F243FF"/>
    <w:rsid w:val="00F2445E"/>
    <w:rsid w:val="00F25868"/>
    <w:rsid w:val="00F3002A"/>
    <w:rsid w:val="00F30103"/>
    <w:rsid w:val="00F32643"/>
    <w:rsid w:val="00F345C2"/>
    <w:rsid w:val="00F35748"/>
    <w:rsid w:val="00F406B5"/>
    <w:rsid w:val="00F415A3"/>
    <w:rsid w:val="00F4621B"/>
    <w:rsid w:val="00F51383"/>
    <w:rsid w:val="00F54E7A"/>
    <w:rsid w:val="00F56549"/>
    <w:rsid w:val="00F65431"/>
    <w:rsid w:val="00F66BDC"/>
    <w:rsid w:val="00F6716D"/>
    <w:rsid w:val="00F712BC"/>
    <w:rsid w:val="00F7183A"/>
    <w:rsid w:val="00F73AA9"/>
    <w:rsid w:val="00F8046F"/>
    <w:rsid w:val="00F820ED"/>
    <w:rsid w:val="00F84771"/>
    <w:rsid w:val="00F84E85"/>
    <w:rsid w:val="00F878BD"/>
    <w:rsid w:val="00F97021"/>
    <w:rsid w:val="00FA22E2"/>
    <w:rsid w:val="00FA30CA"/>
    <w:rsid w:val="00FA5FC1"/>
    <w:rsid w:val="00FA67E6"/>
    <w:rsid w:val="00FB189A"/>
    <w:rsid w:val="00FB3391"/>
    <w:rsid w:val="00FB5497"/>
    <w:rsid w:val="00FB551F"/>
    <w:rsid w:val="00FB7B55"/>
    <w:rsid w:val="00FC4590"/>
    <w:rsid w:val="00FD0BCD"/>
    <w:rsid w:val="00FD1E1D"/>
    <w:rsid w:val="00FD418D"/>
    <w:rsid w:val="00FD5FB2"/>
    <w:rsid w:val="00FD7657"/>
    <w:rsid w:val="00FE4B6C"/>
    <w:rsid w:val="00FF0E95"/>
    <w:rsid w:val="00FF12AD"/>
    <w:rsid w:val="00FF3041"/>
    <w:rsid w:val="00FF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C954"/>
  <w15:docId w15:val="{31BFB3CC-9FF6-4D39-A37C-2E36F507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7F6B"/>
    <w:pPr>
      <w:ind w:left="720"/>
      <w:contextualSpacing/>
    </w:pPr>
  </w:style>
  <w:style w:type="table" w:styleId="TableGrid">
    <w:name w:val="Table Grid"/>
    <w:basedOn w:val="TableNormal"/>
    <w:uiPriority w:val="59"/>
    <w:rsid w:val="00800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D50"/>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3E09AE"/>
    <w:pPr>
      <w:spacing w:after="120"/>
      <w:ind w:left="283"/>
    </w:pPr>
  </w:style>
  <w:style w:type="character" w:customStyle="1" w:styleId="BodyTextIndentChar">
    <w:name w:val="Body Text Indent Char"/>
    <w:basedOn w:val="DefaultParagraphFont"/>
    <w:link w:val="BodyTextIndent"/>
    <w:uiPriority w:val="99"/>
    <w:rsid w:val="003E09AE"/>
  </w:style>
  <w:style w:type="character" w:styleId="CommentReference">
    <w:name w:val="annotation reference"/>
    <w:basedOn w:val="DefaultParagraphFont"/>
    <w:uiPriority w:val="99"/>
    <w:semiHidden/>
    <w:unhideWhenUsed/>
    <w:rsid w:val="0005288D"/>
    <w:rPr>
      <w:sz w:val="16"/>
      <w:szCs w:val="16"/>
    </w:rPr>
  </w:style>
  <w:style w:type="paragraph" w:styleId="CommentText">
    <w:name w:val="annotation text"/>
    <w:basedOn w:val="Normal"/>
    <w:link w:val="CommentTextChar"/>
    <w:uiPriority w:val="99"/>
    <w:semiHidden/>
    <w:unhideWhenUsed/>
    <w:rsid w:val="0005288D"/>
    <w:pPr>
      <w:spacing w:line="240" w:lineRule="auto"/>
    </w:pPr>
    <w:rPr>
      <w:sz w:val="20"/>
      <w:szCs w:val="20"/>
    </w:rPr>
  </w:style>
  <w:style w:type="character" w:customStyle="1" w:styleId="CommentTextChar">
    <w:name w:val="Comment Text Char"/>
    <w:basedOn w:val="DefaultParagraphFont"/>
    <w:link w:val="CommentText"/>
    <w:uiPriority w:val="99"/>
    <w:semiHidden/>
    <w:rsid w:val="0005288D"/>
    <w:rPr>
      <w:sz w:val="20"/>
      <w:szCs w:val="20"/>
    </w:rPr>
  </w:style>
  <w:style w:type="paragraph" w:styleId="CommentSubject">
    <w:name w:val="annotation subject"/>
    <w:basedOn w:val="CommentText"/>
    <w:next w:val="CommentText"/>
    <w:link w:val="CommentSubjectChar"/>
    <w:uiPriority w:val="99"/>
    <w:semiHidden/>
    <w:unhideWhenUsed/>
    <w:rsid w:val="0005288D"/>
    <w:rPr>
      <w:b/>
      <w:bCs/>
    </w:rPr>
  </w:style>
  <w:style w:type="character" w:customStyle="1" w:styleId="CommentSubjectChar">
    <w:name w:val="Comment Subject Char"/>
    <w:basedOn w:val="CommentTextChar"/>
    <w:link w:val="CommentSubject"/>
    <w:uiPriority w:val="99"/>
    <w:semiHidden/>
    <w:rsid w:val="0005288D"/>
    <w:rPr>
      <w:b/>
      <w:bCs/>
      <w:sz w:val="20"/>
      <w:szCs w:val="20"/>
    </w:rPr>
  </w:style>
  <w:style w:type="paragraph" w:styleId="BalloonText">
    <w:name w:val="Balloon Text"/>
    <w:basedOn w:val="Normal"/>
    <w:link w:val="BalloonTextChar"/>
    <w:uiPriority w:val="99"/>
    <w:semiHidden/>
    <w:unhideWhenUsed/>
    <w:rsid w:val="0005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88D"/>
    <w:rPr>
      <w:rFonts w:ascii="Tahoma" w:hAnsi="Tahoma" w:cs="Tahoma"/>
      <w:sz w:val="16"/>
      <w:szCs w:val="16"/>
    </w:rPr>
  </w:style>
  <w:style w:type="paragraph" w:styleId="Header">
    <w:name w:val="header"/>
    <w:basedOn w:val="Normal"/>
    <w:link w:val="HeaderChar"/>
    <w:uiPriority w:val="99"/>
    <w:unhideWhenUsed/>
    <w:rsid w:val="00226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B5C"/>
  </w:style>
  <w:style w:type="paragraph" w:styleId="Footer">
    <w:name w:val="footer"/>
    <w:basedOn w:val="Normal"/>
    <w:link w:val="FooterChar"/>
    <w:uiPriority w:val="99"/>
    <w:unhideWhenUsed/>
    <w:rsid w:val="00226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B5C"/>
  </w:style>
  <w:style w:type="paragraph" w:customStyle="1" w:styleId="2Paragraphs">
    <w:name w:val="2_Paragraphs"/>
    <w:basedOn w:val="ListParagraph"/>
    <w:qFormat/>
    <w:rsid w:val="00A30DD0"/>
    <w:pPr>
      <w:spacing w:after="0" w:line="240" w:lineRule="auto"/>
      <w:ind w:left="0"/>
      <w:jc w:val="both"/>
    </w:pPr>
    <w:rPr>
      <w:rFonts w:eastAsia="Times New Roman" w:cstheme="minorHAnsi"/>
      <w:bCs/>
      <w:sz w:val="24"/>
      <w:szCs w:val="24"/>
    </w:rPr>
  </w:style>
  <w:style w:type="character" w:customStyle="1" w:styleId="ListParagraphChar">
    <w:name w:val="List Paragraph Char"/>
    <w:basedOn w:val="DefaultParagraphFont"/>
    <w:link w:val="ListParagraph"/>
    <w:uiPriority w:val="34"/>
    <w:rsid w:val="00A30DD0"/>
  </w:style>
  <w:style w:type="character" w:styleId="Emphasis">
    <w:name w:val="Emphasis"/>
    <w:basedOn w:val="DefaultParagraphFont"/>
    <w:uiPriority w:val="20"/>
    <w:qFormat/>
    <w:rsid w:val="00D400CC"/>
    <w:rPr>
      <w:b/>
      <w:bCs/>
      <w:i w:val="0"/>
      <w:iCs w:val="0"/>
    </w:rPr>
  </w:style>
  <w:style w:type="character" w:customStyle="1" w:styleId="st1">
    <w:name w:val="st1"/>
    <w:basedOn w:val="DefaultParagraphFont"/>
    <w:rsid w:val="00D400CC"/>
  </w:style>
  <w:style w:type="paragraph" w:styleId="Caption">
    <w:name w:val="caption"/>
    <w:basedOn w:val="Normal"/>
    <w:next w:val="Normal"/>
    <w:uiPriority w:val="35"/>
    <w:unhideWhenUsed/>
    <w:qFormat/>
    <w:rsid w:val="008765C7"/>
    <w:pPr>
      <w:spacing w:line="240" w:lineRule="auto"/>
    </w:pPr>
    <w:rPr>
      <w:i/>
      <w:iCs/>
      <w:color w:val="1F497D" w:themeColor="text2"/>
      <w:sz w:val="18"/>
      <w:szCs w:val="18"/>
    </w:rPr>
  </w:style>
  <w:style w:type="paragraph" w:customStyle="1" w:styleId="xl37">
    <w:name w:val="xl37"/>
    <w:basedOn w:val="Normal"/>
    <w:rsid w:val="00012C2E"/>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character" w:customStyle="1" w:styleId="e24kjd">
    <w:name w:val="e24kjd"/>
    <w:basedOn w:val="DefaultParagraphFont"/>
    <w:rsid w:val="00BD2444"/>
  </w:style>
  <w:style w:type="paragraph" w:styleId="BodyTextIndent2">
    <w:name w:val="Body Text Indent 2"/>
    <w:basedOn w:val="Normal"/>
    <w:link w:val="BodyTextIndent2Char"/>
    <w:uiPriority w:val="99"/>
    <w:semiHidden/>
    <w:unhideWhenUsed/>
    <w:rsid w:val="00411D2D"/>
    <w:pPr>
      <w:spacing w:after="120" w:line="480" w:lineRule="auto"/>
      <w:ind w:left="283"/>
    </w:pPr>
  </w:style>
  <w:style w:type="character" w:customStyle="1" w:styleId="BodyTextIndent2Char">
    <w:name w:val="Body Text Indent 2 Char"/>
    <w:basedOn w:val="DefaultParagraphFont"/>
    <w:link w:val="BodyTextIndent2"/>
    <w:uiPriority w:val="99"/>
    <w:semiHidden/>
    <w:rsid w:val="0041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573">
      <w:bodyDiv w:val="1"/>
      <w:marLeft w:val="0"/>
      <w:marRight w:val="0"/>
      <w:marTop w:val="0"/>
      <w:marBottom w:val="0"/>
      <w:divBdr>
        <w:top w:val="none" w:sz="0" w:space="0" w:color="auto"/>
        <w:left w:val="none" w:sz="0" w:space="0" w:color="auto"/>
        <w:bottom w:val="none" w:sz="0" w:space="0" w:color="auto"/>
        <w:right w:val="none" w:sz="0" w:space="0" w:color="auto"/>
      </w:divBdr>
    </w:div>
    <w:div w:id="259029635">
      <w:bodyDiv w:val="1"/>
      <w:marLeft w:val="0"/>
      <w:marRight w:val="0"/>
      <w:marTop w:val="0"/>
      <w:marBottom w:val="0"/>
      <w:divBdr>
        <w:top w:val="none" w:sz="0" w:space="0" w:color="auto"/>
        <w:left w:val="none" w:sz="0" w:space="0" w:color="auto"/>
        <w:bottom w:val="none" w:sz="0" w:space="0" w:color="auto"/>
        <w:right w:val="none" w:sz="0" w:space="0" w:color="auto"/>
      </w:divBdr>
    </w:div>
    <w:div w:id="290868357">
      <w:bodyDiv w:val="1"/>
      <w:marLeft w:val="0"/>
      <w:marRight w:val="0"/>
      <w:marTop w:val="0"/>
      <w:marBottom w:val="0"/>
      <w:divBdr>
        <w:top w:val="none" w:sz="0" w:space="0" w:color="auto"/>
        <w:left w:val="none" w:sz="0" w:space="0" w:color="auto"/>
        <w:bottom w:val="none" w:sz="0" w:space="0" w:color="auto"/>
        <w:right w:val="none" w:sz="0" w:space="0" w:color="auto"/>
      </w:divBdr>
    </w:div>
    <w:div w:id="530147606">
      <w:bodyDiv w:val="1"/>
      <w:marLeft w:val="0"/>
      <w:marRight w:val="0"/>
      <w:marTop w:val="0"/>
      <w:marBottom w:val="0"/>
      <w:divBdr>
        <w:top w:val="none" w:sz="0" w:space="0" w:color="auto"/>
        <w:left w:val="none" w:sz="0" w:space="0" w:color="auto"/>
        <w:bottom w:val="none" w:sz="0" w:space="0" w:color="auto"/>
        <w:right w:val="none" w:sz="0" w:space="0" w:color="auto"/>
      </w:divBdr>
    </w:div>
    <w:div w:id="775171783">
      <w:bodyDiv w:val="1"/>
      <w:marLeft w:val="0"/>
      <w:marRight w:val="0"/>
      <w:marTop w:val="0"/>
      <w:marBottom w:val="0"/>
      <w:divBdr>
        <w:top w:val="none" w:sz="0" w:space="0" w:color="auto"/>
        <w:left w:val="none" w:sz="0" w:space="0" w:color="auto"/>
        <w:bottom w:val="none" w:sz="0" w:space="0" w:color="auto"/>
        <w:right w:val="none" w:sz="0" w:space="0" w:color="auto"/>
      </w:divBdr>
    </w:div>
    <w:div w:id="916020313">
      <w:bodyDiv w:val="1"/>
      <w:marLeft w:val="0"/>
      <w:marRight w:val="0"/>
      <w:marTop w:val="0"/>
      <w:marBottom w:val="0"/>
      <w:divBdr>
        <w:top w:val="none" w:sz="0" w:space="0" w:color="auto"/>
        <w:left w:val="none" w:sz="0" w:space="0" w:color="auto"/>
        <w:bottom w:val="none" w:sz="0" w:space="0" w:color="auto"/>
        <w:right w:val="none" w:sz="0" w:space="0" w:color="auto"/>
      </w:divBdr>
    </w:div>
    <w:div w:id="1054893639">
      <w:bodyDiv w:val="1"/>
      <w:marLeft w:val="0"/>
      <w:marRight w:val="0"/>
      <w:marTop w:val="0"/>
      <w:marBottom w:val="0"/>
      <w:divBdr>
        <w:top w:val="none" w:sz="0" w:space="0" w:color="auto"/>
        <w:left w:val="none" w:sz="0" w:space="0" w:color="auto"/>
        <w:bottom w:val="none" w:sz="0" w:space="0" w:color="auto"/>
        <w:right w:val="none" w:sz="0" w:space="0" w:color="auto"/>
      </w:divBdr>
    </w:div>
    <w:div w:id="1065878120">
      <w:bodyDiv w:val="1"/>
      <w:marLeft w:val="0"/>
      <w:marRight w:val="0"/>
      <w:marTop w:val="0"/>
      <w:marBottom w:val="0"/>
      <w:divBdr>
        <w:top w:val="none" w:sz="0" w:space="0" w:color="auto"/>
        <w:left w:val="none" w:sz="0" w:space="0" w:color="auto"/>
        <w:bottom w:val="none" w:sz="0" w:space="0" w:color="auto"/>
        <w:right w:val="none" w:sz="0" w:space="0" w:color="auto"/>
      </w:divBdr>
    </w:div>
    <w:div w:id="1326477286">
      <w:bodyDiv w:val="1"/>
      <w:marLeft w:val="0"/>
      <w:marRight w:val="0"/>
      <w:marTop w:val="0"/>
      <w:marBottom w:val="0"/>
      <w:divBdr>
        <w:top w:val="none" w:sz="0" w:space="0" w:color="auto"/>
        <w:left w:val="none" w:sz="0" w:space="0" w:color="auto"/>
        <w:bottom w:val="none" w:sz="0" w:space="0" w:color="auto"/>
        <w:right w:val="none" w:sz="0" w:space="0" w:color="auto"/>
      </w:divBdr>
    </w:div>
    <w:div w:id="1343585378">
      <w:bodyDiv w:val="1"/>
      <w:marLeft w:val="0"/>
      <w:marRight w:val="0"/>
      <w:marTop w:val="0"/>
      <w:marBottom w:val="0"/>
      <w:divBdr>
        <w:top w:val="none" w:sz="0" w:space="0" w:color="auto"/>
        <w:left w:val="none" w:sz="0" w:space="0" w:color="auto"/>
        <w:bottom w:val="none" w:sz="0" w:space="0" w:color="auto"/>
        <w:right w:val="none" w:sz="0" w:space="0" w:color="auto"/>
      </w:divBdr>
    </w:div>
    <w:div w:id="1460370736">
      <w:bodyDiv w:val="1"/>
      <w:marLeft w:val="0"/>
      <w:marRight w:val="0"/>
      <w:marTop w:val="0"/>
      <w:marBottom w:val="0"/>
      <w:divBdr>
        <w:top w:val="none" w:sz="0" w:space="0" w:color="auto"/>
        <w:left w:val="none" w:sz="0" w:space="0" w:color="auto"/>
        <w:bottom w:val="none" w:sz="0" w:space="0" w:color="auto"/>
        <w:right w:val="none" w:sz="0" w:space="0" w:color="auto"/>
      </w:divBdr>
    </w:div>
    <w:div w:id="1480271593">
      <w:bodyDiv w:val="1"/>
      <w:marLeft w:val="0"/>
      <w:marRight w:val="0"/>
      <w:marTop w:val="0"/>
      <w:marBottom w:val="0"/>
      <w:divBdr>
        <w:top w:val="none" w:sz="0" w:space="0" w:color="auto"/>
        <w:left w:val="none" w:sz="0" w:space="0" w:color="auto"/>
        <w:bottom w:val="none" w:sz="0" w:space="0" w:color="auto"/>
        <w:right w:val="none" w:sz="0" w:space="0" w:color="auto"/>
      </w:divBdr>
    </w:div>
    <w:div w:id="1489901926">
      <w:bodyDiv w:val="1"/>
      <w:marLeft w:val="0"/>
      <w:marRight w:val="0"/>
      <w:marTop w:val="0"/>
      <w:marBottom w:val="0"/>
      <w:divBdr>
        <w:top w:val="none" w:sz="0" w:space="0" w:color="auto"/>
        <w:left w:val="none" w:sz="0" w:space="0" w:color="auto"/>
        <w:bottom w:val="none" w:sz="0" w:space="0" w:color="auto"/>
        <w:right w:val="none" w:sz="0" w:space="0" w:color="auto"/>
      </w:divBdr>
    </w:div>
    <w:div w:id="16032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4757-4693-4168-A5F7-8F54B0DA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3680</TotalTime>
  <Pages>12</Pages>
  <Words>5178</Words>
  <Characters>29517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nickw</dc:creator>
  <cp:lastModifiedBy>Nick Wilson</cp:lastModifiedBy>
  <cp:revision>422</cp:revision>
  <dcterms:created xsi:type="dcterms:W3CDTF">2019-02-01T14:22:00Z</dcterms:created>
  <dcterms:modified xsi:type="dcterms:W3CDTF">2022-02-28T13:13:00Z</dcterms:modified>
</cp:coreProperties>
</file>