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7638" w14:textId="154BE879" w:rsidR="00053387" w:rsidRDefault="00053387" w:rsidP="000533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0105">
        <w:rPr>
          <w:rFonts w:ascii="Arial" w:hAnsi="Arial" w:cs="Arial"/>
          <w:b/>
          <w:sz w:val="28"/>
          <w:szCs w:val="28"/>
        </w:rPr>
        <w:t>MEMBERS ALLOWANCES SCHEME</w:t>
      </w:r>
    </w:p>
    <w:p w14:paraId="420627DF" w14:textId="77777777" w:rsidR="00053387" w:rsidRPr="00955A33" w:rsidRDefault="00053387" w:rsidP="00053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47493" w14:textId="77777777" w:rsidR="00053387" w:rsidRPr="00955A33" w:rsidRDefault="00053387" w:rsidP="00053387">
      <w:pPr>
        <w:pStyle w:val="BodyText"/>
        <w:spacing w:before="79"/>
        <w:ind w:left="2852"/>
        <w:rPr>
          <w:rFonts w:ascii="Arial" w:hAnsi="Arial" w:cs="Arial"/>
        </w:rPr>
      </w:pPr>
      <w:r w:rsidRPr="00955A33">
        <w:rPr>
          <w:rFonts w:ascii="Arial" w:hAnsi="Arial" w:cs="Arial"/>
          <w:w w:val="90"/>
          <w:u w:val="single"/>
        </w:rPr>
        <w:t>MEMBERS ALLOWANCE SCHEME 2022/23</w:t>
      </w:r>
    </w:p>
    <w:p w14:paraId="5468E7B8" w14:textId="77777777" w:rsidR="00053387" w:rsidRPr="00955A33" w:rsidRDefault="00053387" w:rsidP="00053387">
      <w:pPr>
        <w:pStyle w:val="ListParagraph"/>
        <w:tabs>
          <w:tab w:val="left" w:pos="792"/>
          <w:tab w:val="left" w:pos="7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8E6026" w14:textId="77777777" w:rsidR="00053387" w:rsidRPr="00955A33" w:rsidRDefault="00053387" w:rsidP="00053387">
      <w:pPr>
        <w:pStyle w:val="ListParagraph"/>
        <w:tabs>
          <w:tab w:val="left" w:pos="792"/>
          <w:tab w:val="left" w:pos="7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5A33">
        <w:rPr>
          <w:rFonts w:ascii="Arial" w:hAnsi="Arial" w:cs="Arial"/>
          <w:sz w:val="24"/>
          <w:szCs w:val="24"/>
        </w:rPr>
        <w:t>The basic Members’ allowance is</w:t>
      </w:r>
      <w:r w:rsidRPr="00955A33">
        <w:rPr>
          <w:rFonts w:ascii="Arial" w:hAnsi="Arial" w:cs="Arial"/>
          <w:spacing w:val="11"/>
          <w:sz w:val="24"/>
          <w:szCs w:val="24"/>
        </w:rPr>
        <w:t xml:space="preserve"> </w:t>
      </w:r>
      <w:r w:rsidRPr="00955A33">
        <w:rPr>
          <w:rFonts w:ascii="Arial" w:hAnsi="Arial" w:cs="Arial"/>
          <w:sz w:val="24"/>
          <w:szCs w:val="24"/>
        </w:rPr>
        <w:t>£5,250</w:t>
      </w:r>
    </w:p>
    <w:p w14:paraId="0C0B831A" w14:textId="77777777" w:rsidR="00053387" w:rsidRPr="00955A33" w:rsidRDefault="00053387" w:rsidP="00053387">
      <w:pPr>
        <w:pStyle w:val="ListParagraph"/>
        <w:tabs>
          <w:tab w:val="left" w:pos="792"/>
          <w:tab w:val="left" w:pos="7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5A33">
        <w:rPr>
          <w:rFonts w:ascii="Arial" w:hAnsi="Arial" w:cs="Arial"/>
          <w:sz w:val="24"/>
          <w:szCs w:val="24"/>
        </w:rPr>
        <w:t>Special Responsibility Allowances are as</w:t>
      </w:r>
      <w:r w:rsidRPr="00955A33">
        <w:rPr>
          <w:rFonts w:ascii="Arial" w:hAnsi="Arial" w:cs="Arial"/>
          <w:spacing w:val="7"/>
          <w:sz w:val="24"/>
          <w:szCs w:val="24"/>
        </w:rPr>
        <w:t xml:space="preserve"> </w:t>
      </w:r>
      <w:r w:rsidRPr="00955A33">
        <w:rPr>
          <w:rFonts w:ascii="Arial" w:hAnsi="Arial" w:cs="Arial"/>
          <w:sz w:val="24"/>
          <w:szCs w:val="24"/>
        </w:rPr>
        <w:t>follows:</w:t>
      </w:r>
    </w:p>
    <w:p w14:paraId="30B12223" w14:textId="77777777" w:rsidR="00053387" w:rsidRPr="00955A33" w:rsidRDefault="00053387" w:rsidP="00053387">
      <w:pPr>
        <w:pStyle w:val="BodyText"/>
        <w:rPr>
          <w:rFonts w:ascii="Arial" w:hAnsi="Arial" w:cs="Arial"/>
          <w:b w:val="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7"/>
        <w:gridCol w:w="1055"/>
      </w:tblGrid>
      <w:tr w:rsidR="00053387" w:rsidRPr="00955A33" w14:paraId="67BDE5E6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16775A34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Leader of the Council</w:t>
            </w:r>
          </w:p>
        </w:tc>
        <w:tc>
          <w:tcPr>
            <w:tcW w:w="1055" w:type="dxa"/>
          </w:tcPr>
          <w:p w14:paraId="7BCC4D49" w14:textId="77777777" w:rsidR="00053387" w:rsidRPr="00955A33" w:rsidRDefault="00053387" w:rsidP="00CD4580">
            <w:pPr>
              <w:pStyle w:val="TableParagraph"/>
              <w:ind w:right="27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£19,750</w:t>
            </w:r>
          </w:p>
        </w:tc>
      </w:tr>
      <w:tr w:rsidR="00053387" w:rsidRPr="00955A33" w14:paraId="62C25A05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7B299679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Deputy Leader of the Council</w:t>
            </w:r>
          </w:p>
        </w:tc>
        <w:tc>
          <w:tcPr>
            <w:tcW w:w="1055" w:type="dxa"/>
          </w:tcPr>
          <w:p w14:paraId="057E8BB5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£11,150</w:t>
            </w:r>
          </w:p>
        </w:tc>
      </w:tr>
      <w:tr w:rsidR="00053387" w:rsidRPr="00955A33" w14:paraId="75D883D6" w14:textId="77777777" w:rsidTr="00CD4580">
        <w:trPr>
          <w:trHeight w:hRule="exact" w:val="314"/>
          <w:jc w:val="center"/>
        </w:trPr>
        <w:tc>
          <w:tcPr>
            <w:tcW w:w="6637" w:type="dxa"/>
          </w:tcPr>
          <w:p w14:paraId="550465A8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Leader of Main Opposition Group</w:t>
            </w:r>
          </w:p>
        </w:tc>
        <w:tc>
          <w:tcPr>
            <w:tcW w:w="1055" w:type="dxa"/>
          </w:tcPr>
          <w:p w14:paraId="24BCB0D4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£6,400</w:t>
            </w:r>
          </w:p>
        </w:tc>
      </w:tr>
      <w:tr w:rsidR="00053387" w:rsidRPr="00955A33" w14:paraId="70B4EFF0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0E46AC3F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Leaders of Minority Opposition Groups</w:t>
            </w:r>
          </w:p>
        </w:tc>
        <w:tc>
          <w:tcPr>
            <w:tcW w:w="1055" w:type="dxa"/>
          </w:tcPr>
          <w:p w14:paraId="484A97F8" w14:textId="77777777" w:rsidR="00053387" w:rsidRPr="00955A33" w:rsidRDefault="00053387" w:rsidP="00CD4580">
            <w:pPr>
              <w:pStyle w:val="TableParagraph"/>
              <w:ind w:right="27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£853</w:t>
            </w:r>
          </w:p>
        </w:tc>
      </w:tr>
      <w:tr w:rsidR="00053387" w:rsidRPr="00955A33" w14:paraId="378B4C2B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6865CB23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Cabinet Members with Portfolios</w:t>
            </w:r>
          </w:p>
        </w:tc>
        <w:tc>
          <w:tcPr>
            <w:tcW w:w="1055" w:type="dxa"/>
          </w:tcPr>
          <w:p w14:paraId="242EEEC9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£8,500</w:t>
            </w:r>
          </w:p>
        </w:tc>
      </w:tr>
      <w:tr w:rsidR="00053387" w:rsidRPr="00955A33" w14:paraId="12D1382B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75F5DB78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Chairman of Policy &amp; Performance Improvement Committee</w:t>
            </w:r>
          </w:p>
        </w:tc>
        <w:tc>
          <w:tcPr>
            <w:tcW w:w="1055" w:type="dxa"/>
          </w:tcPr>
          <w:p w14:paraId="73F1803A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£8,500</w:t>
            </w:r>
          </w:p>
        </w:tc>
      </w:tr>
      <w:tr w:rsidR="00053387" w:rsidRPr="00955A33" w14:paraId="25271EAA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7F649046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Vice-Chairman of Policy &amp; Performance Improvement Committee</w:t>
            </w:r>
          </w:p>
        </w:tc>
        <w:tc>
          <w:tcPr>
            <w:tcW w:w="1055" w:type="dxa"/>
          </w:tcPr>
          <w:p w14:paraId="4FFFD8A5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£4,250</w:t>
            </w:r>
          </w:p>
        </w:tc>
      </w:tr>
      <w:tr w:rsidR="00053387" w:rsidRPr="00955A33" w14:paraId="661BA99A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68D028BC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Chairman Planning Committee</w:t>
            </w:r>
          </w:p>
        </w:tc>
        <w:tc>
          <w:tcPr>
            <w:tcW w:w="1055" w:type="dxa"/>
          </w:tcPr>
          <w:p w14:paraId="14B7B15B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£6,100</w:t>
            </w:r>
          </w:p>
        </w:tc>
      </w:tr>
      <w:tr w:rsidR="00053387" w:rsidRPr="00955A33" w14:paraId="2D8AD5B4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4E4665F7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Vice–Chairman Planning Committee</w:t>
            </w:r>
          </w:p>
        </w:tc>
        <w:tc>
          <w:tcPr>
            <w:tcW w:w="1055" w:type="dxa"/>
          </w:tcPr>
          <w:p w14:paraId="7DC29995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£1,525</w:t>
            </w:r>
          </w:p>
        </w:tc>
      </w:tr>
      <w:tr w:rsidR="00053387" w:rsidRPr="00955A33" w14:paraId="1B698707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42351582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Chairman of Licensing &amp; General Purposes Committees</w:t>
            </w:r>
          </w:p>
        </w:tc>
        <w:tc>
          <w:tcPr>
            <w:tcW w:w="1055" w:type="dxa"/>
          </w:tcPr>
          <w:p w14:paraId="09870222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£3,470</w:t>
            </w:r>
          </w:p>
        </w:tc>
      </w:tr>
      <w:tr w:rsidR="00053387" w:rsidRPr="00955A33" w14:paraId="424B7BFC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3A6DE59E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Vice–Chairman of Licensing &amp; General Purposes Committees</w:t>
            </w:r>
          </w:p>
        </w:tc>
        <w:tc>
          <w:tcPr>
            <w:tcW w:w="1055" w:type="dxa"/>
          </w:tcPr>
          <w:p w14:paraId="250EC294" w14:textId="77777777" w:rsidR="00053387" w:rsidRPr="00955A33" w:rsidRDefault="00053387" w:rsidP="00CD4580">
            <w:pPr>
              <w:pStyle w:val="TableParagraph"/>
              <w:ind w:right="27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£868</w:t>
            </w:r>
          </w:p>
        </w:tc>
      </w:tr>
      <w:tr w:rsidR="00053387" w:rsidRPr="00955A33" w14:paraId="3E4D5C6C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64E052AE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Chairman of Audit &amp; Governance Committee</w:t>
            </w:r>
          </w:p>
        </w:tc>
        <w:tc>
          <w:tcPr>
            <w:tcW w:w="1055" w:type="dxa"/>
          </w:tcPr>
          <w:p w14:paraId="0CD0B8C7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£6,000</w:t>
            </w:r>
          </w:p>
        </w:tc>
      </w:tr>
      <w:tr w:rsidR="00053387" w:rsidRPr="00955A33" w14:paraId="48F354CC" w14:textId="77777777" w:rsidTr="00CD4580">
        <w:trPr>
          <w:trHeight w:hRule="exact" w:val="290"/>
          <w:jc w:val="center"/>
        </w:trPr>
        <w:tc>
          <w:tcPr>
            <w:tcW w:w="6637" w:type="dxa"/>
          </w:tcPr>
          <w:p w14:paraId="38DF6291" w14:textId="77777777" w:rsidR="00053387" w:rsidRPr="00955A33" w:rsidRDefault="00053387" w:rsidP="00CD4580">
            <w:pPr>
              <w:pStyle w:val="TableParagraph"/>
              <w:ind w:left="28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Vice-Chairman of Audit &amp; Governance Committee</w:t>
            </w:r>
          </w:p>
        </w:tc>
        <w:tc>
          <w:tcPr>
            <w:tcW w:w="1055" w:type="dxa"/>
          </w:tcPr>
          <w:p w14:paraId="6CD52B84" w14:textId="77777777" w:rsidR="00053387" w:rsidRPr="00955A33" w:rsidRDefault="00053387" w:rsidP="00CD4580">
            <w:pPr>
              <w:pStyle w:val="TableParagraph"/>
              <w:ind w:right="28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£1,500</w:t>
            </w:r>
          </w:p>
        </w:tc>
      </w:tr>
    </w:tbl>
    <w:p w14:paraId="3A08FB0A" w14:textId="77777777" w:rsidR="00053387" w:rsidRPr="00955A33" w:rsidRDefault="00053387" w:rsidP="00053387">
      <w:pPr>
        <w:pStyle w:val="BodyText"/>
        <w:rPr>
          <w:rFonts w:ascii="Arial" w:hAnsi="Arial" w:cs="Arial"/>
          <w:b w:val="0"/>
        </w:rPr>
      </w:pPr>
    </w:p>
    <w:p w14:paraId="05937BD0" w14:textId="77777777" w:rsidR="00053387" w:rsidRPr="00955A33" w:rsidRDefault="00053387" w:rsidP="00053387">
      <w:pPr>
        <w:pStyle w:val="BodyText"/>
        <w:widowControl w:val="0"/>
        <w:numPr>
          <w:ilvl w:val="0"/>
          <w:numId w:val="1"/>
        </w:numPr>
        <w:autoSpaceDE w:val="0"/>
        <w:autoSpaceDN w:val="0"/>
        <w:ind w:left="1134" w:right="-129" w:hanging="283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There is no limit as to the number of special responsibility allowances paid to individual Members.</w:t>
      </w:r>
    </w:p>
    <w:p w14:paraId="0601917D" w14:textId="77777777" w:rsidR="00053387" w:rsidRPr="00955A33" w:rsidRDefault="00053387" w:rsidP="00053387">
      <w:pPr>
        <w:pStyle w:val="ListParagraph"/>
        <w:spacing w:after="0" w:line="240" w:lineRule="auto"/>
        <w:ind w:left="1134" w:right="-129" w:hanging="283"/>
        <w:jc w:val="both"/>
        <w:rPr>
          <w:rFonts w:ascii="Arial" w:hAnsi="Arial" w:cs="Arial"/>
          <w:sz w:val="24"/>
          <w:szCs w:val="24"/>
        </w:rPr>
      </w:pPr>
    </w:p>
    <w:p w14:paraId="0537215C" w14:textId="77777777" w:rsidR="00053387" w:rsidRPr="00955A33" w:rsidRDefault="00053387" w:rsidP="00053387">
      <w:pPr>
        <w:pStyle w:val="BodyText"/>
        <w:widowControl w:val="0"/>
        <w:numPr>
          <w:ilvl w:val="0"/>
          <w:numId w:val="1"/>
        </w:numPr>
        <w:autoSpaceDE w:val="0"/>
        <w:autoSpaceDN w:val="0"/>
        <w:ind w:left="1134" w:right="-129" w:hanging="283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For the purposes of qualifying for a special responsibility allowance a political group on the Council needs to comprise of at least four</w:t>
      </w:r>
      <w:r w:rsidRPr="00955A33">
        <w:rPr>
          <w:rFonts w:ascii="Arial" w:hAnsi="Arial" w:cs="Arial"/>
          <w:b w:val="0"/>
          <w:spacing w:val="13"/>
        </w:rPr>
        <w:t xml:space="preserve"> </w:t>
      </w:r>
      <w:r w:rsidRPr="00955A33">
        <w:rPr>
          <w:rFonts w:ascii="Arial" w:hAnsi="Arial" w:cs="Arial"/>
          <w:b w:val="0"/>
        </w:rPr>
        <w:t>Members.</w:t>
      </w:r>
    </w:p>
    <w:p w14:paraId="2F077BB2" w14:textId="77777777" w:rsidR="00053387" w:rsidRPr="00955A33" w:rsidRDefault="00053387" w:rsidP="00053387">
      <w:pPr>
        <w:pStyle w:val="BodyText"/>
        <w:ind w:left="1134" w:right="-129" w:hanging="283"/>
        <w:jc w:val="both"/>
        <w:rPr>
          <w:rFonts w:ascii="Arial" w:hAnsi="Arial" w:cs="Arial"/>
          <w:b w:val="0"/>
        </w:rPr>
      </w:pPr>
    </w:p>
    <w:p w14:paraId="4D213B1F" w14:textId="77777777" w:rsidR="00053387" w:rsidRPr="00955A33" w:rsidRDefault="00053387" w:rsidP="00053387">
      <w:pPr>
        <w:pStyle w:val="BodyText"/>
        <w:widowControl w:val="0"/>
        <w:numPr>
          <w:ilvl w:val="0"/>
          <w:numId w:val="1"/>
        </w:numPr>
        <w:autoSpaceDE w:val="0"/>
        <w:autoSpaceDN w:val="0"/>
        <w:ind w:left="1134" w:right="-129" w:hanging="283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A childcare and dependent carers’ allowance of up to £10 per hour will be payable for costs actually incurred, or more in exceptional circumstances at the discretion of the Section 151 Officer provided that it is evidenced</w:t>
      </w:r>
      <w:r w:rsidRPr="00955A33">
        <w:rPr>
          <w:rFonts w:ascii="Arial" w:hAnsi="Arial" w:cs="Arial"/>
          <w:b w:val="0"/>
          <w:spacing w:val="3"/>
        </w:rPr>
        <w:t xml:space="preserve"> </w:t>
      </w:r>
      <w:r w:rsidRPr="00955A33">
        <w:rPr>
          <w:rFonts w:ascii="Arial" w:hAnsi="Arial" w:cs="Arial"/>
          <w:b w:val="0"/>
        </w:rPr>
        <w:t>based.</w:t>
      </w:r>
    </w:p>
    <w:p w14:paraId="0EE5FDD7" w14:textId="77777777" w:rsidR="00053387" w:rsidRPr="00955A33" w:rsidRDefault="00053387" w:rsidP="00053387">
      <w:pPr>
        <w:pStyle w:val="BodyText"/>
        <w:ind w:left="1134" w:right="-129" w:hanging="283"/>
        <w:jc w:val="both"/>
        <w:rPr>
          <w:rFonts w:ascii="Arial" w:hAnsi="Arial" w:cs="Arial"/>
          <w:b w:val="0"/>
        </w:rPr>
      </w:pPr>
    </w:p>
    <w:p w14:paraId="2847D1F6" w14:textId="77777777" w:rsidR="00053387" w:rsidRPr="00955A33" w:rsidRDefault="00053387" w:rsidP="00053387">
      <w:pPr>
        <w:pStyle w:val="BodyText"/>
        <w:widowControl w:val="0"/>
        <w:numPr>
          <w:ilvl w:val="0"/>
          <w:numId w:val="1"/>
        </w:numPr>
        <w:autoSpaceDE w:val="0"/>
        <w:autoSpaceDN w:val="0"/>
        <w:ind w:left="1134" w:right="-129" w:hanging="283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In the event of any part year entitlement due to elections, suspension or changes in special responsibility, payments will be subject to a daily calculation of</w:t>
      </w:r>
      <w:r w:rsidRPr="00955A33">
        <w:rPr>
          <w:rFonts w:ascii="Arial" w:hAnsi="Arial" w:cs="Arial"/>
          <w:b w:val="0"/>
          <w:spacing w:val="10"/>
        </w:rPr>
        <w:t xml:space="preserve"> </w:t>
      </w:r>
      <w:r w:rsidRPr="00955A33">
        <w:rPr>
          <w:rFonts w:ascii="Arial" w:hAnsi="Arial" w:cs="Arial"/>
          <w:b w:val="0"/>
        </w:rPr>
        <w:t>entitlement.</w:t>
      </w:r>
    </w:p>
    <w:p w14:paraId="664E8E53" w14:textId="77777777" w:rsidR="00053387" w:rsidRPr="00955A33" w:rsidRDefault="00053387" w:rsidP="00053387">
      <w:pPr>
        <w:pStyle w:val="BodyText"/>
        <w:ind w:left="1134" w:right="-129" w:hanging="283"/>
        <w:jc w:val="both"/>
        <w:rPr>
          <w:rFonts w:ascii="Arial" w:hAnsi="Arial" w:cs="Arial"/>
          <w:b w:val="0"/>
        </w:rPr>
      </w:pPr>
    </w:p>
    <w:p w14:paraId="6EB6FCB0" w14:textId="77777777" w:rsidR="00053387" w:rsidRPr="00955A33" w:rsidRDefault="00053387" w:rsidP="00053387">
      <w:pPr>
        <w:pStyle w:val="BodyText"/>
        <w:widowControl w:val="0"/>
        <w:numPr>
          <w:ilvl w:val="0"/>
          <w:numId w:val="1"/>
        </w:numPr>
        <w:autoSpaceDE w:val="0"/>
        <w:autoSpaceDN w:val="0"/>
        <w:ind w:left="1134" w:right="-129" w:hanging="283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The travel and subsistence expenses for Members be the same as the casual user rate and subsistence scheme for</w:t>
      </w:r>
      <w:r w:rsidRPr="00955A33">
        <w:rPr>
          <w:rFonts w:ascii="Arial" w:hAnsi="Arial" w:cs="Arial"/>
          <w:b w:val="0"/>
          <w:spacing w:val="5"/>
        </w:rPr>
        <w:t xml:space="preserve"> </w:t>
      </w:r>
      <w:r w:rsidRPr="00955A33">
        <w:rPr>
          <w:rFonts w:ascii="Arial" w:hAnsi="Arial" w:cs="Arial"/>
          <w:b w:val="0"/>
        </w:rPr>
        <w:t>officers.</w:t>
      </w:r>
    </w:p>
    <w:p w14:paraId="7D08D369" w14:textId="77777777" w:rsidR="00053387" w:rsidRPr="00955A33" w:rsidRDefault="00053387" w:rsidP="00053387">
      <w:pPr>
        <w:pStyle w:val="BodyText"/>
        <w:ind w:left="1418" w:right="-129" w:hanging="266"/>
        <w:jc w:val="both"/>
        <w:rPr>
          <w:rFonts w:ascii="Arial" w:hAnsi="Arial" w:cs="Arial"/>
          <w:b w:val="0"/>
        </w:rPr>
      </w:pPr>
    </w:p>
    <w:p w14:paraId="56A35D80" w14:textId="77777777" w:rsidR="00053387" w:rsidRPr="00955A33" w:rsidRDefault="00053387" w:rsidP="00053387">
      <w:pPr>
        <w:pStyle w:val="BodyText"/>
        <w:ind w:left="1134" w:right="-129" w:firstLine="18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Further notes on travel expenses are detailed below:</w:t>
      </w:r>
    </w:p>
    <w:p w14:paraId="5446E92A" w14:textId="77777777" w:rsidR="00053387" w:rsidRPr="00955A33" w:rsidRDefault="00053387" w:rsidP="00053387">
      <w:pPr>
        <w:pStyle w:val="BodyText"/>
        <w:ind w:right="-129"/>
        <w:jc w:val="both"/>
        <w:rPr>
          <w:rFonts w:ascii="Arial" w:hAnsi="Arial" w:cs="Arial"/>
          <w:b w:val="0"/>
        </w:rPr>
      </w:pPr>
    </w:p>
    <w:p w14:paraId="3F6BDF27" w14:textId="77777777" w:rsidR="00053387" w:rsidRPr="00955A33" w:rsidRDefault="00053387" w:rsidP="00053387">
      <w:pPr>
        <w:pStyle w:val="BodyText"/>
        <w:widowControl w:val="0"/>
        <w:numPr>
          <w:ilvl w:val="0"/>
          <w:numId w:val="2"/>
        </w:numPr>
        <w:autoSpaceDE w:val="0"/>
        <w:autoSpaceDN w:val="0"/>
        <w:ind w:left="1560" w:right="-129" w:hanging="426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Members may claim for travel expenses for attending physical group meetings which are convened for district council business and held at Castle House or elsewhere in the district.</w:t>
      </w:r>
    </w:p>
    <w:p w14:paraId="285CAE6A" w14:textId="77777777" w:rsidR="00053387" w:rsidRPr="00955A33" w:rsidRDefault="00053387" w:rsidP="00053387">
      <w:pPr>
        <w:pStyle w:val="BodyText"/>
        <w:widowControl w:val="0"/>
        <w:numPr>
          <w:ilvl w:val="0"/>
          <w:numId w:val="2"/>
        </w:numPr>
        <w:autoSpaceDE w:val="0"/>
        <w:autoSpaceDN w:val="0"/>
        <w:ind w:left="1560" w:right="-129" w:hanging="426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Members can claim travel expenses for attending Castle House on council business when appropriate and meetings cannot be facilitated remotely.</w:t>
      </w:r>
    </w:p>
    <w:p w14:paraId="069BEAC8" w14:textId="77777777" w:rsidR="00053387" w:rsidRPr="00955A33" w:rsidRDefault="00053387" w:rsidP="00053387">
      <w:pPr>
        <w:pStyle w:val="BodyText"/>
        <w:widowControl w:val="0"/>
        <w:numPr>
          <w:ilvl w:val="0"/>
          <w:numId w:val="2"/>
        </w:numPr>
        <w:autoSpaceDE w:val="0"/>
        <w:autoSpaceDN w:val="0"/>
        <w:ind w:left="1560" w:right="-129" w:hanging="426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An allowance of £8 is payable to members of the Planning Committee for attending site visits.</w:t>
      </w:r>
    </w:p>
    <w:p w14:paraId="268ABF11" w14:textId="77777777" w:rsidR="00053387" w:rsidRPr="00955A33" w:rsidRDefault="00053387" w:rsidP="00053387">
      <w:pPr>
        <w:pStyle w:val="BodyText"/>
        <w:ind w:right="-129"/>
        <w:jc w:val="both"/>
        <w:rPr>
          <w:rFonts w:ascii="Arial" w:hAnsi="Arial" w:cs="Arial"/>
          <w:b w:val="0"/>
        </w:rPr>
      </w:pPr>
    </w:p>
    <w:p w14:paraId="33D0C2CC" w14:textId="77777777" w:rsidR="00053387" w:rsidRPr="00955A33" w:rsidRDefault="00053387" w:rsidP="0005338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134" w:right="-12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955A33">
        <w:rPr>
          <w:rFonts w:ascii="Arial" w:hAnsi="Arial" w:cs="Arial"/>
          <w:sz w:val="24"/>
          <w:szCs w:val="24"/>
        </w:rPr>
        <w:lastRenderedPageBreak/>
        <w:t>Any Member may, by way of notice in writing, forgo all or part of any</w:t>
      </w:r>
      <w:r w:rsidRPr="00955A33">
        <w:rPr>
          <w:rFonts w:ascii="Arial" w:hAnsi="Arial" w:cs="Arial"/>
          <w:spacing w:val="20"/>
          <w:sz w:val="24"/>
          <w:szCs w:val="24"/>
        </w:rPr>
        <w:t xml:space="preserve"> </w:t>
      </w:r>
      <w:r w:rsidRPr="00955A33">
        <w:rPr>
          <w:rFonts w:ascii="Arial" w:hAnsi="Arial" w:cs="Arial"/>
          <w:sz w:val="24"/>
          <w:szCs w:val="24"/>
        </w:rPr>
        <w:t>allowances.</w:t>
      </w:r>
    </w:p>
    <w:p w14:paraId="6ACDDADB" w14:textId="77777777" w:rsidR="00053387" w:rsidRPr="00955A33" w:rsidRDefault="00053387" w:rsidP="00053387">
      <w:pPr>
        <w:pStyle w:val="ListParagraph"/>
        <w:spacing w:after="0" w:line="240" w:lineRule="auto"/>
        <w:ind w:left="1134" w:right="-129" w:hanging="283"/>
        <w:jc w:val="both"/>
        <w:rPr>
          <w:rFonts w:ascii="Arial" w:hAnsi="Arial" w:cs="Arial"/>
          <w:sz w:val="24"/>
          <w:szCs w:val="24"/>
        </w:rPr>
      </w:pPr>
    </w:p>
    <w:p w14:paraId="76520016" w14:textId="77777777" w:rsidR="00053387" w:rsidRPr="00955A33" w:rsidRDefault="00053387" w:rsidP="00053387">
      <w:pPr>
        <w:pStyle w:val="BodyText"/>
        <w:widowControl w:val="0"/>
        <w:numPr>
          <w:ilvl w:val="0"/>
          <w:numId w:val="1"/>
        </w:numPr>
        <w:autoSpaceDE w:val="0"/>
        <w:autoSpaceDN w:val="0"/>
        <w:ind w:left="1134" w:right="-129" w:hanging="283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 xml:space="preserve">The Basic Allowance and Special Responsibility Allowances are indexed to the annual percentage salary increase for local government staff (at spinal column </w:t>
      </w:r>
      <w:r w:rsidRPr="0037241F">
        <w:rPr>
          <w:rFonts w:ascii="Arial" w:hAnsi="Arial" w:cs="Arial"/>
          <w:b w:val="0"/>
        </w:rPr>
        <w:t>43)</w:t>
      </w:r>
      <w:r w:rsidRPr="00955A33">
        <w:rPr>
          <w:rFonts w:ascii="Arial" w:hAnsi="Arial" w:cs="Arial"/>
          <w:b w:val="0"/>
        </w:rPr>
        <w:t xml:space="preserve"> to be implemented from the start of the municipal year for which it is</w:t>
      </w:r>
      <w:r w:rsidRPr="00955A33">
        <w:rPr>
          <w:rFonts w:ascii="Arial" w:hAnsi="Arial" w:cs="Arial"/>
          <w:b w:val="0"/>
          <w:spacing w:val="6"/>
        </w:rPr>
        <w:t xml:space="preserve"> </w:t>
      </w:r>
      <w:r w:rsidRPr="00955A33">
        <w:rPr>
          <w:rFonts w:ascii="Arial" w:hAnsi="Arial" w:cs="Arial"/>
          <w:b w:val="0"/>
        </w:rPr>
        <w:t>applicable.</w:t>
      </w:r>
    </w:p>
    <w:p w14:paraId="42DA4800" w14:textId="77777777" w:rsidR="00053387" w:rsidRPr="00955A33" w:rsidRDefault="00053387" w:rsidP="00053387">
      <w:pPr>
        <w:pStyle w:val="BodyText"/>
        <w:ind w:right="-129"/>
        <w:jc w:val="both"/>
        <w:rPr>
          <w:rFonts w:ascii="Arial" w:hAnsi="Arial" w:cs="Arial"/>
          <w:b w:val="0"/>
        </w:rPr>
      </w:pPr>
    </w:p>
    <w:p w14:paraId="4B08F327" w14:textId="77777777" w:rsidR="00053387" w:rsidRPr="00955A33" w:rsidRDefault="00053387" w:rsidP="00053387">
      <w:pPr>
        <w:pStyle w:val="ListParagraph"/>
        <w:tabs>
          <w:tab w:val="left" w:pos="792"/>
          <w:tab w:val="left" w:pos="793"/>
        </w:tabs>
        <w:spacing w:after="0" w:line="240" w:lineRule="auto"/>
        <w:ind w:right="-129"/>
        <w:jc w:val="center"/>
        <w:rPr>
          <w:rFonts w:ascii="Arial" w:hAnsi="Arial" w:cs="Arial"/>
          <w:sz w:val="24"/>
          <w:szCs w:val="24"/>
        </w:rPr>
      </w:pPr>
      <w:r w:rsidRPr="00955A33">
        <w:rPr>
          <w:rFonts w:ascii="Arial" w:hAnsi="Arial" w:cs="Arial"/>
          <w:position w:val="1"/>
          <w:sz w:val="24"/>
          <w:szCs w:val="24"/>
        </w:rPr>
        <w:t>This scheme came into effect on 17 May 2022</w:t>
      </w:r>
    </w:p>
    <w:p w14:paraId="31650020" w14:textId="77777777" w:rsidR="00053387" w:rsidRPr="00955A33" w:rsidRDefault="00053387" w:rsidP="00053387">
      <w:pPr>
        <w:pStyle w:val="BodyText"/>
        <w:ind w:right="-129"/>
        <w:jc w:val="both"/>
        <w:rPr>
          <w:rFonts w:ascii="Arial" w:hAnsi="Arial" w:cs="Arial"/>
          <w:b w:val="0"/>
        </w:rPr>
      </w:pPr>
    </w:p>
    <w:p w14:paraId="0AC2A71E" w14:textId="77777777" w:rsidR="00053387" w:rsidRPr="00955A33" w:rsidRDefault="00053387" w:rsidP="00053387">
      <w:pPr>
        <w:pStyle w:val="BodyText"/>
        <w:ind w:left="851" w:right="-129"/>
        <w:jc w:val="both"/>
        <w:rPr>
          <w:rFonts w:ascii="Arial" w:hAnsi="Arial" w:cs="Arial"/>
          <w:b w:val="0"/>
        </w:rPr>
      </w:pPr>
      <w:r w:rsidRPr="00955A33">
        <w:rPr>
          <w:rFonts w:ascii="Arial" w:hAnsi="Arial" w:cs="Arial"/>
          <w:b w:val="0"/>
        </w:rPr>
        <w:t>Notes: The following annual payments are made outside of the Members’ Allowances Scheme:</w:t>
      </w:r>
    </w:p>
    <w:p w14:paraId="6891D50E" w14:textId="77777777" w:rsidR="00053387" w:rsidRPr="00955A33" w:rsidRDefault="00053387" w:rsidP="00053387">
      <w:pPr>
        <w:pStyle w:val="BodyText"/>
        <w:ind w:right="-129"/>
        <w:jc w:val="both"/>
        <w:rPr>
          <w:rFonts w:ascii="Arial" w:hAnsi="Arial" w:cs="Arial"/>
          <w:b w:val="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2"/>
        <w:gridCol w:w="1150"/>
      </w:tblGrid>
      <w:tr w:rsidR="00053387" w:rsidRPr="00955A33" w14:paraId="5E02C7F7" w14:textId="77777777" w:rsidTr="00CD4580">
        <w:trPr>
          <w:trHeight w:hRule="exact" w:val="290"/>
          <w:jc w:val="center"/>
        </w:trPr>
        <w:tc>
          <w:tcPr>
            <w:tcW w:w="6542" w:type="dxa"/>
          </w:tcPr>
          <w:p w14:paraId="3DA76BE7" w14:textId="77777777" w:rsidR="00053387" w:rsidRPr="00955A33" w:rsidRDefault="00053387" w:rsidP="00CD4580">
            <w:pPr>
              <w:pStyle w:val="TableParagraph"/>
              <w:ind w:left="28" w:right="-129"/>
              <w:jc w:val="both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Council’s Appointed Independent Persons</w:t>
            </w:r>
          </w:p>
        </w:tc>
        <w:tc>
          <w:tcPr>
            <w:tcW w:w="1150" w:type="dxa"/>
          </w:tcPr>
          <w:p w14:paraId="5AE35362" w14:textId="77777777" w:rsidR="00053387" w:rsidRPr="00955A33" w:rsidRDefault="00053387" w:rsidP="00CD4580">
            <w:pPr>
              <w:pStyle w:val="TableParagraph"/>
              <w:ind w:right="183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£1,500</w:t>
            </w:r>
          </w:p>
        </w:tc>
      </w:tr>
      <w:tr w:rsidR="00053387" w:rsidRPr="00955A33" w14:paraId="0AD0557B" w14:textId="77777777" w:rsidTr="00CD4580">
        <w:trPr>
          <w:trHeight w:hRule="exact" w:val="290"/>
          <w:jc w:val="center"/>
        </w:trPr>
        <w:tc>
          <w:tcPr>
            <w:tcW w:w="6542" w:type="dxa"/>
          </w:tcPr>
          <w:p w14:paraId="2BBE481E" w14:textId="77777777" w:rsidR="00053387" w:rsidRPr="00955A33" w:rsidRDefault="00053387" w:rsidP="00CD4580">
            <w:pPr>
              <w:pStyle w:val="TableParagraph"/>
              <w:ind w:left="28" w:right="-129"/>
              <w:jc w:val="both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Chairman of the Council</w:t>
            </w:r>
          </w:p>
        </w:tc>
        <w:tc>
          <w:tcPr>
            <w:tcW w:w="1150" w:type="dxa"/>
          </w:tcPr>
          <w:p w14:paraId="3DE16444" w14:textId="77777777" w:rsidR="00053387" w:rsidRPr="00955A33" w:rsidRDefault="00053387" w:rsidP="00CD4580">
            <w:pPr>
              <w:pStyle w:val="TableParagraph"/>
              <w:ind w:right="183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£3,360</w:t>
            </w:r>
          </w:p>
        </w:tc>
      </w:tr>
      <w:tr w:rsidR="00053387" w:rsidRPr="00955A33" w14:paraId="379AC3C8" w14:textId="77777777" w:rsidTr="00CD4580">
        <w:trPr>
          <w:trHeight w:hRule="exact" w:val="290"/>
          <w:jc w:val="center"/>
        </w:trPr>
        <w:tc>
          <w:tcPr>
            <w:tcW w:w="6542" w:type="dxa"/>
          </w:tcPr>
          <w:p w14:paraId="756BFBD0" w14:textId="77777777" w:rsidR="00053387" w:rsidRPr="00955A33" w:rsidRDefault="00053387" w:rsidP="00CD4580">
            <w:pPr>
              <w:pStyle w:val="TableParagraph"/>
              <w:ind w:left="28" w:right="-129"/>
              <w:jc w:val="both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Vice-Chairman of the Council</w:t>
            </w:r>
          </w:p>
        </w:tc>
        <w:tc>
          <w:tcPr>
            <w:tcW w:w="1150" w:type="dxa"/>
          </w:tcPr>
          <w:p w14:paraId="4AA85A3D" w14:textId="77777777" w:rsidR="00053387" w:rsidRPr="00955A33" w:rsidRDefault="00053387" w:rsidP="00CD4580">
            <w:pPr>
              <w:pStyle w:val="TableParagraph"/>
              <w:ind w:right="183"/>
              <w:jc w:val="right"/>
              <w:rPr>
                <w:sz w:val="24"/>
                <w:szCs w:val="24"/>
              </w:rPr>
            </w:pPr>
            <w:r w:rsidRPr="00955A33">
              <w:rPr>
                <w:sz w:val="24"/>
                <w:szCs w:val="24"/>
              </w:rPr>
              <w:t>£670</w:t>
            </w:r>
          </w:p>
        </w:tc>
      </w:tr>
    </w:tbl>
    <w:p w14:paraId="47559F88" w14:textId="77777777" w:rsidR="00053387" w:rsidRPr="00955A33" w:rsidRDefault="00053387" w:rsidP="00053387">
      <w:pPr>
        <w:spacing w:after="0" w:line="240" w:lineRule="auto"/>
        <w:ind w:right="-129"/>
        <w:jc w:val="both"/>
        <w:rPr>
          <w:rFonts w:ascii="Arial" w:hAnsi="Arial" w:cs="Arial"/>
          <w:sz w:val="24"/>
          <w:szCs w:val="24"/>
        </w:rPr>
      </w:pPr>
    </w:p>
    <w:p w14:paraId="2172E14F" w14:textId="77777777" w:rsidR="00561A91" w:rsidRDefault="00561A91"/>
    <w:sectPr w:rsidR="0056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6C49"/>
    <w:multiLevelType w:val="hybridMultilevel"/>
    <w:tmpl w:val="B32ACFC2"/>
    <w:lvl w:ilvl="0" w:tplc="7A381B90">
      <w:start w:val="1"/>
      <w:numFmt w:val="decimal"/>
      <w:lvlText w:val="%1."/>
      <w:lvlJc w:val="righ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5221097A"/>
    <w:multiLevelType w:val="hybridMultilevel"/>
    <w:tmpl w:val="96F4B66A"/>
    <w:lvl w:ilvl="0" w:tplc="0C14BEBA">
      <w:start w:val="1"/>
      <w:numFmt w:val="lowerRoman"/>
      <w:lvlText w:val="%1.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87"/>
    <w:rsid w:val="00053387"/>
    <w:rsid w:val="00561A91"/>
    <w:rsid w:val="006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18C0"/>
  <w15:chartTrackingRefBased/>
  <w15:docId w15:val="{59BE148D-872B-439F-BCED-430F5E9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87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5338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5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533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5338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>Newark &amp; Sherwood District Council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Brandham</dc:creator>
  <cp:keywords/>
  <dc:description/>
  <cp:lastModifiedBy>Helen Brandham</cp:lastModifiedBy>
  <cp:revision>1</cp:revision>
  <dcterms:created xsi:type="dcterms:W3CDTF">2022-11-03T16:09:00Z</dcterms:created>
  <dcterms:modified xsi:type="dcterms:W3CDTF">2022-11-03T16:11:00Z</dcterms:modified>
</cp:coreProperties>
</file>